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B997B3" w14:textId="56CCE08C" w:rsidR="007666A9" w:rsidRPr="007666A9" w:rsidRDefault="007666A9" w:rsidP="007666A9">
      <w:pPr>
        <w:pStyle w:val="Titolo2"/>
        <w:tabs>
          <w:tab w:val="left" w:pos="993"/>
        </w:tabs>
        <w:spacing w:after="120"/>
        <w:jc w:val="center"/>
        <w:rPr>
          <w:rFonts w:ascii="Times New Roman" w:hAnsi="Times New Roman" w:cs="Times New Roman"/>
          <w:color w:val="FF0000"/>
          <w:sz w:val="32"/>
          <w:szCs w:val="32"/>
        </w:rPr>
      </w:pPr>
      <w:bookmarkStart w:id="0" w:name="_Toc130294261"/>
      <w:r w:rsidRPr="007666A9">
        <w:rPr>
          <w:rFonts w:ascii="Times New Roman" w:hAnsi="Times New Roman" w:cs="Times New Roman"/>
          <w:color w:val="FF0000"/>
          <w:sz w:val="32"/>
          <w:szCs w:val="32"/>
        </w:rPr>
        <w:t>RATEIZZAZIONI DEI PAGAMENTI</w:t>
      </w:r>
      <w:bookmarkEnd w:id="0"/>
    </w:p>
    <w:p w14:paraId="10FD8865" w14:textId="77777777" w:rsidR="007666A9" w:rsidRPr="00561D9A" w:rsidRDefault="007666A9" w:rsidP="007666A9">
      <w:pPr>
        <w:pStyle w:val="Titolo2"/>
        <w:numPr>
          <w:ilvl w:val="1"/>
          <w:numId w:val="3"/>
        </w:numPr>
        <w:tabs>
          <w:tab w:val="num" w:pos="360"/>
          <w:tab w:val="left" w:pos="993"/>
        </w:tabs>
        <w:spacing w:after="120"/>
        <w:ind w:left="0" w:firstLine="0"/>
        <w:rPr>
          <w:rFonts w:ascii="Times New Roman" w:hAnsi="Times New Roman" w:cs="Times New Roman"/>
        </w:rPr>
      </w:pPr>
      <w:bookmarkStart w:id="1" w:name="_Toc130294262"/>
      <w:r w:rsidRPr="00561D9A">
        <w:rPr>
          <w:rFonts w:ascii="Times New Roman" w:hAnsi="Times New Roman" w:cs="Times New Roman"/>
        </w:rPr>
        <w:t>Rateizzazione della Fattura ordinaria</w:t>
      </w:r>
      <w:bookmarkEnd w:id="1"/>
    </w:p>
    <w:p w14:paraId="6966406A" w14:textId="77777777" w:rsidR="007666A9" w:rsidRPr="00561D9A" w:rsidRDefault="007666A9" w:rsidP="007666A9">
      <w:pPr>
        <w:pStyle w:val="Paragrafoelenco"/>
        <w:numPr>
          <w:ilvl w:val="0"/>
          <w:numId w:val="1"/>
        </w:numPr>
        <w:spacing w:after="120" w:line="288" w:lineRule="auto"/>
        <w:jc w:val="both"/>
      </w:pPr>
      <w:r w:rsidRPr="00561D9A">
        <w:t>Il Gestore è tenuto a garantire la possibilità di rateizzazione di ciascuna delle rate di cui al precedente Art.23:</w:t>
      </w:r>
    </w:p>
    <w:p w14:paraId="12C2056B" w14:textId="77777777" w:rsidR="007666A9" w:rsidRPr="00561D9A" w:rsidRDefault="007666A9" w:rsidP="007666A9">
      <w:pPr>
        <w:pStyle w:val="Paragrafoelenco"/>
        <w:spacing w:after="120" w:line="288" w:lineRule="auto"/>
        <w:jc w:val="both"/>
      </w:pPr>
      <w:r w:rsidRPr="00561D9A">
        <w:t>a)</w:t>
      </w:r>
      <w:r w:rsidRPr="00561D9A">
        <w:tab/>
        <w:t>agli utenti che dichiarino mediante autocertificazione ai sensi del decreto del Presidente della Repubblica n.445/00 di essere beneficiari del bonus sociale per disagio economico previsto per i settori elettrico e/o gas e/o per il settore idrico;</w:t>
      </w:r>
    </w:p>
    <w:p w14:paraId="3856845B" w14:textId="77777777" w:rsidR="007666A9" w:rsidRPr="00561D9A" w:rsidRDefault="007666A9" w:rsidP="007666A9">
      <w:pPr>
        <w:pStyle w:val="Paragrafoelenco"/>
        <w:spacing w:after="120" w:line="288" w:lineRule="auto"/>
        <w:jc w:val="both"/>
      </w:pPr>
      <w:r w:rsidRPr="00561D9A">
        <w:t>b)</w:t>
      </w:r>
      <w:r w:rsidRPr="00561D9A">
        <w:tab/>
        <w:t>a ulteriori utenti che si trovino in condizioni economiche disagiate, individuati secondo i criteri definiti dall’Ente territorialmente competente;</w:t>
      </w:r>
    </w:p>
    <w:p w14:paraId="6A207085" w14:textId="77777777" w:rsidR="007666A9" w:rsidRPr="00561D9A" w:rsidRDefault="007666A9" w:rsidP="007666A9">
      <w:pPr>
        <w:pStyle w:val="Paragrafoelenco"/>
        <w:spacing w:after="120" w:line="288" w:lineRule="auto"/>
        <w:jc w:val="both"/>
      </w:pPr>
      <w:r w:rsidRPr="00561D9A">
        <w:t>c)</w:t>
      </w:r>
      <w:r w:rsidRPr="00561D9A">
        <w:tab/>
        <w:t>qualora l’importo addebitato superi del 30% il valore medio riferito ai documenti di riscossione emessi negli ultimi due (2) anni.</w:t>
      </w:r>
    </w:p>
    <w:p w14:paraId="798999DF" w14:textId="77777777" w:rsidR="007666A9" w:rsidRPr="00561D9A" w:rsidRDefault="007666A9" w:rsidP="007666A9">
      <w:pPr>
        <w:pStyle w:val="Paragrafoelenco"/>
        <w:spacing w:after="120" w:line="288" w:lineRule="auto"/>
        <w:jc w:val="both"/>
      </w:pPr>
      <w:r w:rsidRPr="00561D9A">
        <w:t>In tal caso, al documento di riscossione dovranno essere allegati i bollettini per il pagamento rateale dell’importo dovuto.</w:t>
      </w:r>
    </w:p>
    <w:p w14:paraId="2EE0EE02" w14:textId="77777777" w:rsidR="007666A9" w:rsidRPr="00561D9A" w:rsidRDefault="007666A9" w:rsidP="007666A9">
      <w:pPr>
        <w:pStyle w:val="Paragrafoelenco"/>
        <w:numPr>
          <w:ilvl w:val="0"/>
          <w:numId w:val="1"/>
        </w:numPr>
        <w:spacing w:after="120" w:line="288" w:lineRule="auto"/>
        <w:jc w:val="both"/>
      </w:pPr>
      <w:r w:rsidRPr="00561D9A">
        <w:t>L’importo della singola rata non potrà essere inferiore ad una soglia minima pari a:</w:t>
      </w:r>
    </w:p>
    <w:p w14:paraId="06178F15" w14:textId="77777777" w:rsidR="007666A9" w:rsidRPr="00561D9A" w:rsidRDefault="007666A9" w:rsidP="007666A9">
      <w:pPr>
        <w:pStyle w:val="Paragrafoelenco"/>
        <w:numPr>
          <w:ilvl w:val="0"/>
          <w:numId w:val="4"/>
        </w:numPr>
        <w:spacing w:after="120" w:line="288" w:lineRule="auto"/>
        <w:jc w:val="both"/>
      </w:pPr>
      <w:r w:rsidRPr="00561D9A">
        <w:t>cinquanta (50) euro per le utenze domestiche;</w:t>
      </w:r>
    </w:p>
    <w:p w14:paraId="50D8CFA0" w14:textId="77777777" w:rsidR="007666A9" w:rsidRPr="00561D9A" w:rsidRDefault="007666A9" w:rsidP="007666A9">
      <w:pPr>
        <w:pStyle w:val="Paragrafoelenco"/>
        <w:numPr>
          <w:ilvl w:val="0"/>
          <w:numId w:val="4"/>
        </w:numPr>
        <w:spacing w:after="120" w:line="288" w:lineRule="auto"/>
        <w:jc w:val="both"/>
      </w:pPr>
      <w:r w:rsidRPr="00561D9A">
        <w:t>cento (100) euro per le utenze non domestiche;</w:t>
      </w:r>
    </w:p>
    <w:p w14:paraId="28A21367" w14:textId="77777777" w:rsidR="007666A9" w:rsidRPr="00561D9A" w:rsidRDefault="007666A9" w:rsidP="007666A9">
      <w:pPr>
        <w:pStyle w:val="Paragrafoelenco"/>
        <w:spacing w:after="120" w:line="288" w:lineRule="auto"/>
        <w:jc w:val="both"/>
      </w:pPr>
      <w:r w:rsidRPr="00561D9A">
        <w:t>fatta salva la possibilità per il Gestore di praticare condizioni di rateizzazione migliorative indipendentemente dovuto. In base all’importo sottoindicato, verrà concesso il numero di rate riportato nella colonna “Rate concedibili con periodicità mensile”:</w:t>
      </w:r>
    </w:p>
    <w:p w14:paraId="6CCF2DEF" w14:textId="77777777" w:rsidR="007666A9" w:rsidRPr="00561D9A" w:rsidRDefault="007666A9" w:rsidP="007666A9">
      <w:pPr>
        <w:pStyle w:val="Paragrafoelenco"/>
        <w:spacing w:after="120" w:line="288" w:lineRule="auto"/>
        <w:jc w:val="both"/>
      </w:pPr>
    </w:p>
    <w:tbl>
      <w:tblPr>
        <w:tblStyle w:val="Grigliatabella"/>
        <w:tblW w:w="0" w:type="auto"/>
        <w:tblInd w:w="720" w:type="dxa"/>
        <w:tblLook w:val="04A0" w:firstRow="1" w:lastRow="0" w:firstColumn="1" w:lastColumn="0" w:noHBand="0" w:noVBand="1"/>
      </w:tblPr>
      <w:tblGrid>
        <w:gridCol w:w="2935"/>
        <w:gridCol w:w="2982"/>
        <w:gridCol w:w="2991"/>
      </w:tblGrid>
      <w:tr w:rsidR="007666A9" w:rsidRPr="00561D9A" w14:paraId="4BF19808" w14:textId="77777777" w:rsidTr="00417622">
        <w:trPr>
          <w:trHeight w:val="298"/>
        </w:trPr>
        <w:tc>
          <w:tcPr>
            <w:tcW w:w="3071" w:type="dxa"/>
            <w:vAlign w:val="center"/>
          </w:tcPr>
          <w:p w14:paraId="632209A8" w14:textId="77777777" w:rsidR="007666A9" w:rsidRPr="00561D9A" w:rsidRDefault="007666A9" w:rsidP="00417622">
            <w:pPr>
              <w:pStyle w:val="Paragrafoelenco"/>
              <w:ind w:left="0"/>
              <w:jc w:val="center"/>
              <w:rPr>
                <w:b/>
                <w:bCs/>
              </w:rPr>
            </w:pPr>
            <w:r w:rsidRPr="00561D9A">
              <w:rPr>
                <w:b/>
                <w:bCs/>
              </w:rPr>
              <w:t>Tipo Cliente</w:t>
            </w:r>
          </w:p>
        </w:tc>
        <w:tc>
          <w:tcPr>
            <w:tcW w:w="3094" w:type="dxa"/>
            <w:vAlign w:val="center"/>
          </w:tcPr>
          <w:p w14:paraId="2BD95829" w14:textId="77777777" w:rsidR="007666A9" w:rsidRPr="00561D9A" w:rsidRDefault="007666A9" w:rsidP="00417622">
            <w:pPr>
              <w:pStyle w:val="Paragrafoelenco"/>
              <w:ind w:left="0"/>
              <w:jc w:val="center"/>
              <w:rPr>
                <w:b/>
                <w:bCs/>
              </w:rPr>
            </w:pPr>
            <w:r w:rsidRPr="00561D9A">
              <w:rPr>
                <w:b/>
                <w:bCs/>
              </w:rPr>
              <w:t>Importo del documento di riscossione da rateizzare €</w:t>
            </w:r>
          </w:p>
        </w:tc>
        <w:tc>
          <w:tcPr>
            <w:tcW w:w="3105" w:type="dxa"/>
            <w:vAlign w:val="center"/>
          </w:tcPr>
          <w:p w14:paraId="4C17E679" w14:textId="77777777" w:rsidR="007666A9" w:rsidRPr="00561D9A" w:rsidRDefault="007666A9" w:rsidP="00417622">
            <w:pPr>
              <w:pStyle w:val="Paragrafoelenco"/>
              <w:ind w:left="0"/>
              <w:jc w:val="center"/>
              <w:rPr>
                <w:b/>
                <w:bCs/>
              </w:rPr>
            </w:pPr>
            <w:r w:rsidRPr="00561D9A">
              <w:rPr>
                <w:b/>
                <w:bCs/>
              </w:rPr>
              <w:t>Rate concedibili con periodicità mensile</w:t>
            </w:r>
          </w:p>
        </w:tc>
      </w:tr>
      <w:tr w:rsidR="007666A9" w:rsidRPr="00561D9A" w14:paraId="79D6BA80" w14:textId="77777777" w:rsidTr="00417622">
        <w:tc>
          <w:tcPr>
            <w:tcW w:w="3071" w:type="dxa"/>
            <w:vMerge w:val="restart"/>
            <w:vAlign w:val="center"/>
          </w:tcPr>
          <w:p w14:paraId="0E625036" w14:textId="77777777" w:rsidR="007666A9" w:rsidRPr="00561D9A" w:rsidRDefault="007666A9" w:rsidP="00417622">
            <w:pPr>
              <w:pStyle w:val="Paragrafoelenco"/>
              <w:ind w:left="0"/>
              <w:jc w:val="center"/>
              <w:rPr>
                <w:b/>
                <w:bCs/>
              </w:rPr>
            </w:pPr>
            <w:r w:rsidRPr="00561D9A">
              <w:rPr>
                <w:b/>
                <w:bCs/>
              </w:rPr>
              <w:t>UD</w:t>
            </w:r>
          </w:p>
        </w:tc>
        <w:tc>
          <w:tcPr>
            <w:tcW w:w="3094" w:type="dxa"/>
            <w:vAlign w:val="center"/>
          </w:tcPr>
          <w:p w14:paraId="6CABF145" w14:textId="77777777" w:rsidR="007666A9" w:rsidRPr="00561D9A" w:rsidRDefault="007666A9" w:rsidP="00417622">
            <w:pPr>
              <w:pStyle w:val="Paragrafoelenco"/>
              <w:ind w:left="0"/>
              <w:jc w:val="center"/>
            </w:pPr>
            <w:r w:rsidRPr="00561D9A">
              <w:t>da 100,00 a 199,99</w:t>
            </w:r>
          </w:p>
        </w:tc>
        <w:tc>
          <w:tcPr>
            <w:tcW w:w="3105" w:type="dxa"/>
            <w:vAlign w:val="center"/>
          </w:tcPr>
          <w:p w14:paraId="1B53D31D" w14:textId="77777777" w:rsidR="007666A9" w:rsidRPr="00561D9A" w:rsidRDefault="007666A9" w:rsidP="00417622">
            <w:pPr>
              <w:pStyle w:val="Paragrafoelenco"/>
              <w:ind w:left="0"/>
              <w:jc w:val="center"/>
            </w:pPr>
            <w:r w:rsidRPr="00561D9A">
              <w:t>2</w:t>
            </w:r>
          </w:p>
        </w:tc>
      </w:tr>
      <w:tr w:rsidR="007666A9" w:rsidRPr="00561D9A" w14:paraId="17E39DD5" w14:textId="77777777" w:rsidTr="00417622">
        <w:tc>
          <w:tcPr>
            <w:tcW w:w="3071" w:type="dxa"/>
            <w:vMerge/>
          </w:tcPr>
          <w:p w14:paraId="3DBDBED4" w14:textId="77777777" w:rsidR="007666A9" w:rsidRPr="00561D9A" w:rsidRDefault="007666A9" w:rsidP="00417622">
            <w:pPr>
              <w:pStyle w:val="Paragrafoelenco"/>
              <w:spacing w:after="120" w:line="288" w:lineRule="auto"/>
              <w:ind w:left="0"/>
              <w:jc w:val="both"/>
            </w:pPr>
          </w:p>
        </w:tc>
        <w:tc>
          <w:tcPr>
            <w:tcW w:w="3094" w:type="dxa"/>
            <w:vAlign w:val="center"/>
          </w:tcPr>
          <w:p w14:paraId="334EAE72" w14:textId="77777777" w:rsidR="007666A9" w:rsidRPr="00561D9A" w:rsidRDefault="007666A9" w:rsidP="00417622">
            <w:pPr>
              <w:pStyle w:val="Paragrafoelenco"/>
              <w:ind w:left="0"/>
              <w:jc w:val="center"/>
            </w:pPr>
            <w:r w:rsidRPr="00561D9A">
              <w:t>da 200,00 a 299,99</w:t>
            </w:r>
          </w:p>
        </w:tc>
        <w:tc>
          <w:tcPr>
            <w:tcW w:w="3105" w:type="dxa"/>
            <w:vAlign w:val="center"/>
          </w:tcPr>
          <w:p w14:paraId="6C8726AD" w14:textId="77777777" w:rsidR="007666A9" w:rsidRPr="00561D9A" w:rsidRDefault="007666A9" w:rsidP="00417622">
            <w:pPr>
              <w:pStyle w:val="Paragrafoelenco"/>
              <w:ind w:left="0"/>
              <w:jc w:val="center"/>
            </w:pPr>
            <w:r w:rsidRPr="00561D9A">
              <w:t>3</w:t>
            </w:r>
          </w:p>
        </w:tc>
      </w:tr>
      <w:tr w:rsidR="007666A9" w:rsidRPr="00561D9A" w14:paraId="4BE6759B" w14:textId="77777777" w:rsidTr="00417622">
        <w:tc>
          <w:tcPr>
            <w:tcW w:w="3071" w:type="dxa"/>
            <w:vMerge/>
          </w:tcPr>
          <w:p w14:paraId="122AA5E9" w14:textId="77777777" w:rsidR="007666A9" w:rsidRPr="00561D9A" w:rsidRDefault="007666A9" w:rsidP="00417622">
            <w:pPr>
              <w:pStyle w:val="Paragrafoelenco"/>
              <w:spacing w:after="120" w:line="288" w:lineRule="auto"/>
              <w:ind w:left="0"/>
              <w:jc w:val="both"/>
            </w:pPr>
          </w:p>
        </w:tc>
        <w:tc>
          <w:tcPr>
            <w:tcW w:w="3094" w:type="dxa"/>
            <w:vAlign w:val="center"/>
          </w:tcPr>
          <w:p w14:paraId="092B9199" w14:textId="77777777" w:rsidR="007666A9" w:rsidRPr="00561D9A" w:rsidRDefault="007666A9" w:rsidP="00417622">
            <w:pPr>
              <w:pStyle w:val="Paragrafoelenco"/>
              <w:ind w:left="0"/>
              <w:jc w:val="center"/>
            </w:pPr>
            <w:r w:rsidRPr="00561D9A">
              <w:t>da 300,00 a 499,99</w:t>
            </w:r>
          </w:p>
        </w:tc>
        <w:tc>
          <w:tcPr>
            <w:tcW w:w="3105" w:type="dxa"/>
            <w:vAlign w:val="center"/>
          </w:tcPr>
          <w:p w14:paraId="677D45AA" w14:textId="77777777" w:rsidR="007666A9" w:rsidRPr="00561D9A" w:rsidRDefault="007666A9" w:rsidP="00417622">
            <w:pPr>
              <w:pStyle w:val="Paragrafoelenco"/>
              <w:ind w:left="0"/>
              <w:jc w:val="center"/>
            </w:pPr>
            <w:r w:rsidRPr="00561D9A">
              <w:t>4</w:t>
            </w:r>
          </w:p>
        </w:tc>
      </w:tr>
      <w:tr w:rsidR="007666A9" w:rsidRPr="00561D9A" w14:paraId="6224F75E" w14:textId="77777777" w:rsidTr="00417622">
        <w:tc>
          <w:tcPr>
            <w:tcW w:w="3071" w:type="dxa"/>
            <w:vMerge/>
          </w:tcPr>
          <w:p w14:paraId="633A95E5" w14:textId="77777777" w:rsidR="007666A9" w:rsidRPr="00561D9A" w:rsidRDefault="007666A9" w:rsidP="00417622">
            <w:pPr>
              <w:pStyle w:val="Paragrafoelenco"/>
              <w:spacing w:after="120" w:line="288" w:lineRule="auto"/>
              <w:ind w:left="0"/>
              <w:jc w:val="both"/>
            </w:pPr>
          </w:p>
        </w:tc>
        <w:tc>
          <w:tcPr>
            <w:tcW w:w="3094" w:type="dxa"/>
            <w:vAlign w:val="center"/>
          </w:tcPr>
          <w:p w14:paraId="5995632F" w14:textId="77777777" w:rsidR="007666A9" w:rsidRPr="00561D9A" w:rsidRDefault="007666A9" w:rsidP="00417622">
            <w:pPr>
              <w:pStyle w:val="Paragrafoelenco"/>
              <w:ind w:left="0"/>
              <w:jc w:val="center"/>
            </w:pPr>
            <w:r w:rsidRPr="00561D9A">
              <w:t>&gt;500,00</w:t>
            </w:r>
          </w:p>
        </w:tc>
        <w:tc>
          <w:tcPr>
            <w:tcW w:w="3105" w:type="dxa"/>
            <w:vAlign w:val="center"/>
          </w:tcPr>
          <w:p w14:paraId="530AD89E" w14:textId="77777777" w:rsidR="007666A9" w:rsidRPr="00561D9A" w:rsidRDefault="007666A9" w:rsidP="00417622">
            <w:pPr>
              <w:pStyle w:val="Paragrafoelenco"/>
              <w:ind w:left="0"/>
              <w:jc w:val="center"/>
            </w:pPr>
            <w:r w:rsidRPr="00561D9A">
              <w:t>5</w:t>
            </w:r>
          </w:p>
        </w:tc>
      </w:tr>
    </w:tbl>
    <w:p w14:paraId="3F32C669" w14:textId="77777777" w:rsidR="007666A9" w:rsidRPr="00561D9A" w:rsidRDefault="007666A9" w:rsidP="007666A9">
      <w:pPr>
        <w:pStyle w:val="Paragrafoelenco"/>
        <w:spacing w:after="120" w:line="288" w:lineRule="auto"/>
        <w:jc w:val="both"/>
      </w:pPr>
    </w:p>
    <w:tbl>
      <w:tblPr>
        <w:tblStyle w:val="Grigliatabella"/>
        <w:tblW w:w="0" w:type="auto"/>
        <w:tblInd w:w="720" w:type="dxa"/>
        <w:tblLook w:val="04A0" w:firstRow="1" w:lastRow="0" w:firstColumn="1" w:lastColumn="0" w:noHBand="0" w:noVBand="1"/>
      </w:tblPr>
      <w:tblGrid>
        <w:gridCol w:w="2935"/>
        <w:gridCol w:w="2982"/>
        <w:gridCol w:w="2991"/>
      </w:tblGrid>
      <w:tr w:rsidR="007666A9" w:rsidRPr="00561D9A" w14:paraId="2B919B4D" w14:textId="77777777" w:rsidTr="00417622">
        <w:trPr>
          <w:trHeight w:val="298"/>
        </w:trPr>
        <w:tc>
          <w:tcPr>
            <w:tcW w:w="3071" w:type="dxa"/>
            <w:vAlign w:val="center"/>
          </w:tcPr>
          <w:p w14:paraId="19F28E40" w14:textId="77777777" w:rsidR="007666A9" w:rsidRPr="00561D9A" w:rsidRDefault="007666A9" w:rsidP="00417622">
            <w:pPr>
              <w:pStyle w:val="Paragrafoelenco"/>
              <w:ind w:left="0"/>
              <w:jc w:val="center"/>
              <w:rPr>
                <w:b/>
                <w:bCs/>
              </w:rPr>
            </w:pPr>
            <w:r w:rsidRPr="00561D9A">
              <w:rPr>
                <w:b/>
                <w:bCs/>
              </w:rPr>
              <w:t>Tipo Cliente</w:t>
            </w:r>
          </w:p>
        </w:tc>
        <w:tc>
          <w:tcPr>
            <w:tcW w:w="3094" w:type="dxa"/>
            <w:vAlign w:val="center"/>
          </w:tcPr>
          <w:p w14:paraId="0947FA81" w14:textId="77777777" w:rsidR="007666A9" w:rsidRPr="00561D9A" w:rsidRDefault="007666A9" w:rsidP="00417622">
            <w:pPr>
              <w:pStyle w:val="Paragrafoelenco"/>
              <w:ind w:left="0"/>
              <w:jc w:val="center"/>
              <w:rPr>
                <w:b/>
                <w:bCs/>
              </w:rPr>
            </w:pPr>
            <w:r w:rsidRPr="00561D9A">
              <w:rPr>
                <w:b/>
                <w:bCs/>
              </w:rPr>
              <w:t>Importo del documento di riscossione da rateizzare €</w:t>
            </w:r>
          </w:p>
        </w:tc>
        <w:tc>
          <w:tcPr>
            <w:tcW w:w="3105" w:type="dxa"/>
            <w:vAlign w:val="center"/>
          </w:tcPr>
          <w:p w14:paraId="2961E4C1" w14:textId="77777777" w:rsidR="007666A9" w:rsidRPr="00561D9A" w:rsidRDefault="007666A9" w:rsidP="00417622">
            <w:pPr>
              <w:pStyle w:val="Paragrafoelenco"/>
              <w:ind w:left="0"/>
              <w:jc w:val="center"/>
              <w:rPr>
                <w:b/>
                <w:bCs/>
              </w:rPr>
            </w:pPr>
            <w:r w:rsidRPr="00561D9A">
              <w:rPr>
                <w:b/>
                <w:bCs/>
              </w:rPr>
              <w:t>Rate concedibili con periodicità mensile</w:t>
            </w:r>
          </w:p>
        </w:tc>
      </w:tr>
      <w:tr w:rsidR="007666A9" w:rsidRPr="00561D9A" w14:paraId="56F34FB1" w14:textId="77777777" w:rsidTr="00417622">
        <w:tc>
          <w:tcPr>
            <w:tcW w:w="3071" w:type="dxa"/>
            <w:vMerge w:val="restart"/>
            <w:vAlign w:val="center"/>
          </w:tcPr>
          <w:p w14:paraId="0BFFB4FD" w14:textId="77777777" w:rsidR="007666A9" w:rsidRPr="00561D9A" w:rsidRDefault="007666A9" w:rsidP="00417622">
            <w:pPr>
              <w:pStyle w:val="Paragrafoelenco"/>
              <w:ind w:left="0"/>
              <w:jc w:val="center"/>
              <w:rPr>
                <w:b/>
                <w:bCs/>
              </w:rPr>
            </w:pPr>
            <w:r w:rsidRPr="00561D9A">
              <w:rPr>
                <w:b/>
                <w:bCs/>
              </w:rPr>
              <w:t>UND</w:t>
            </w:r>
          </w:p>
        </w:tc>
        <w:tc>
          <w:tcPr>
            <w:tcW w:w="3094" w:type="dxa"/>
            <w:vAlign w:val="center"/>
          </w:tcPr>
          <w:p w14:paraId="6BCF037B" w14:textId="77777777" w:rsidR="007666A9" w:rsidRPr="00561D9A" w:rsidRDefault="007666A9" w:rsidP="00417622">
            <w:pPr>
              <w:pStyle w:val="Paragrafoelenco"/>
              <w:ind w:left="0"/>
              <w:jc w:val="center"/>
            </w:pPr>
            <w:r w:rsidRPr="00561D9A">
              <w:t>da 200,00 a 299,99</w:t>
            </w:r>
          </w:p>
        </w:tc>
        <w:tc>
          <w:tcPr>
            <w:tcW w:w="3105" w:type="dxa"/>
            <w:vAlign w:val="center"/>
          </w:tcPr>
          <w:p w14:paraId="7FC58103" w14:textId="77777777" w:rsidR="007666A9" w:rsidRPr="00561D9A" w:rsidRDefault="007666A9" w:rsidP="00417622">
            <w:pPr>
              <w:pStyle w:val="Paragrafoelenco"/>
              <w:ind w:left="0"/>
              <w:jc w:val="center"/>
            </w:pPr>
            <w:r w:rsidRPr="00561D9A">
              <w:t>2</w:t>
            </w:r>
          </w:p>
        </w:tc>
      </w:tr>
      <w:tr w:rsidR="007666A9" w:rsidRPr="00561D9A" w14:paraId="076C9E2F" w14:textId="77777777" w:rsidTr="00417622">
        <w:tc>
          <w:tcPr>
            <w:tcW w:w="3071" w:type="dxa"/>
            <w:vMerge/>
          </w:tcPr>
          <w:p w14:paraId="4F452007" w14:textId="77777777" w:rsidR="007666A9" w:rsidRPr="00561D9A" w:rsidRDefault="007666A9" w:rsidP="00417622">
            <w:pPr>
              <w:pStyle w:val="Paragrafoelenco"/>
              <w:spacing w:after="120" w:line="288" w:lineRule="auto"/>
              <w:ind w:left="0"/>
              <w:jc w:val="both"/>
            </w:pPr>
          </w:p>
        </w:tc>
        <w:tc>
          <w:tcPr>
            <w:tcW w:w="3094" w:type="dxa"/>
            <w:vAlign w:val="center"/>
          </w:tcPr>
          <w:p w14:paraId="29EA8782" w14:textId="77777777" w:rsidR="007666A9" w:rsidRPr="00561D9A" w:rsidRDefault="007666A9" w:rsidP="00417622">
            <w:pPr>
              <w:pStyle w:val="Paragrafoelenco"/>
              <w:ind w:left="0"/>
              <w:jc w:val="center"/>
            </w:pPr>
            <w:r w:rsidRPr="00561D9A">
              <w:t>da 300,00 a 399,99</w:t>
            </w:r>
          </w:p>
        </w:tc>
        <w:tc>
          <w:tcPr>
            <w:tcW w:w="3105" w:type="dxa"/>
            <w:vAlign w:val="center"/>
          </w:tcPr>
          <w:p w14:paraId="255D4D56" w14:textId="77777777" w:rsidR="007666A9" w:rsidRPr="00561D9A" w:rsidRDefault="007666A9" w:rsidP="00417622">
            <w:pPr>
              <w:pStyle w:val="Paragrafoelenco"/>
              <w:ind w:left="0"/>
              <w:jc w:val="center"/>
            </w:pPr>
            <w:r w:rsidRPr="00561D9A">
              <w:t>3</w:t>
            </w:r>
          </w:p>
        </w:tc>
      </w:tr>
      <w:tr w:rsidR="007666A9" w:rsidRPr="00561D9A" w14:paraId="7010C9DF" w14:textId="77777777" w:rsidTr="00417622">
        <w:tc>
          <w:tcPr>
            <w:tcW w:w="3071" w:type="dxa"/>
            <w:vMerge/>
          </w:tcPr>
          <w:p w14:paraId="6CFD1E8E" w14:textId="77777777" w:rsidR="007666A9" w:rsidRPr="00561D9A" w:rsidRDefault="007666A9" w:rsidP="00417622">
            <w:pPr>
              <w:pStyle w:val="Paragrafoelenco"/>
              <w:spacing w:after="120" w:line="288" w:lineRule="auto"/>
              <w:ind w:left="0"/>
              <w:jc w:val="both"/>
            </w:pPr>
          </w:p>
        </w:tc>
        <w:tc>
          <w:tcPr>
            <w:tcW w:w="3094" w:type="dxa"/>
            <w:vAlign w:val="center"/>
          </w:tcPr>
          <w:p w14:paraId="458A113E" w14:textId="77777777" w:rsidR="007666A9" w:rsidRPr="00561D9A" w:rsidRDefault="007666A9" w:rsidP="00417622">
            <w:pPr>
              <w:pStyle w:val="Paragrafoelenco"/>
              <w:ind w:left="0"/>
              <w:jc w:val="center"/>
            </w:pPr>
            <w:r w:rsidRPr="00561D9A">
              <w:t xml:space="preserve">da </w:t>
            </w:r>
            <w:r>
              <w:t>4</w:t>
            </w:r>
            <w:r w:rsidRPr="00561D9A">
              <w:t>00,00 a 499,99</w:t>
            </w:r>
          </w:p>
        </w:tc>
        <w:tc>
          <w:tcPr>
            <w:tcW w:w="3105" w:type="dxa"/>
            <w:vAlign w:val="center"/>
          </w:tcPr>
          <w:p w14:paraId="5CC4417A" w14:textId="77777777" w:rsidR="007666A9" w:rsidRPr="00561D9A" w:rsidRDefault="007666A9" w:rsidP="00417622">
            <w:pPr>
              <w:pStyle w:val="Paragrafoelenco"/>
              <w:ind w:left="0"/>
              <w:jc w:val="center"/>
            </w:pPr>
            <w:r w:rsidRPr="00561D9A">
              <w:t>4</w:t>
            </w:r>
          </w:p>
        </w:tc>
      </w:tr>
      <w:tr w:rsidR="007666A9" w:rsidRPr="00561D9A" w14:paraId="4EA895D4" w14:textId="77777777" w:rsidTr="00417622">
        <w:tc>
          <w:tcPr>
            <w:tcW w:w="3071" w:type="dxa"/>
            <w:vMerge/>
          </w:tcPr>
          <w:p w14:paraId="4F1D6712" w14:textId="77777777" w:rsidR="007666A9" w:rsidRPr="00561D9A" w:rsidRDefault="007666A9" w:rsidP="00417622">
            <w:pPr>
              <w:pStyle w:val="Paragrafoelenco"/>
              <w:spacing w:after="120" w:line="288" w:lineRule="auto"/>
              <w:ind w:left="0"/>
              <w:jc w:val="both"/>
            </w:pPr>
          </w:p>
        </w:tc>
        <w:tc>
          <w:tcPr>
            <w:tcW w:w="3094" w:type="dxa"/>
            <w:vAlign w:val="center"/>
          </w:tcPr>
          <w:p w14:paraId="36080F82" w14:textId="77777777" w:rsidR="007666A9" w:rsidRPr="00561D9A" w:rsidRDefault="007666A9" w:rsidP="00417622">
            <w:pPr>
              <w:pStyle w:val="Paragrafoelenco"/>
              <w:ind w:left="0"/>
              <w:jc w:val="center"/>
            </w:pPr>
            <w:r w:rsidRPr="00561D9A">
              <w:t>&gt;500,00</w:t>
            </w:r>
          </w:p>
        </w:tc>
        <w:tc>
          <w:tcPr>
            <w:tcW w:w="3105" w:type="dxa"/>
            <w:vAlign w:val="center"/>
          </w:tcPr>
          <w:p w14:paraId="6E47AC44" w14:textId="77777777" w:rsidR="007666A9" w:rsidRPr="00561D9A" w:rsidRDefault="007666A9" w:rsidP="00417622">
            <w:pPr>
              <w:pStyle w:val="Paragrafoelenco"/>
              <w:ind w:left="0"/>
              <w:jc w:val="center"/>
            </w:pPr>
            <w:r w:rsidRPr="00561D9A">
              <w:t>5</w:t>
            </w:r>
          </w:p>
        </w:tc>
      </w:tr>
    </w:tbl>
    <w:p w14:paraId="3488B9DD" w14:textId="77777777" w:rsidR="007666A9" w:rsidRPr="00561D9A" w:rsidRDefault="007666A9" w:rsidP="007666A9">
      <w:pPr>
        <w:pStyle w:val="Paragrafoelenco"/>
        <w:spacing w:after="120" w:line="288" w:lineRule="auto"/>
        <w:jc w:val="both"/>
      </w:pPr>
    </w:p>
    <w:p w14:paraId="7C4F1093" w14:textId="77777777" w:rsidR="007666A9" w:rsidRPr="00561D9A" w:rsidRDefault="007666A9" w:rsidP="007666A9">
      <w:pPr>
        <w:pStyle w:val="Paragrafoelenco"/>
        <w:numPr>
          <w:ilvl w:val="0"/>
          <w:numId w:val="1"/>
        </w:numPr>
        <w:spacing w:after="120" w:line="288" w:lineRule="auto"/>
        <w:jc w:val="both"/>
      </w:pPr>
      <w:r w:rsidRPr="00561D9A">
        <w:t>La richiesta di rateizzazione da parte dell’utente che ne ha diritto deve essere presentata entro la scadenza del termine di pagamento riportato nel documento di riscossione.</w:t>
      </w:r>
    </w:p>
    <w:p w14:paraId="003BC793" w14:textId="77777777" w:rsidR="007666A9" w:rsidRPr="00561D9A" w:rsidRDefault="007666A9" w:rsidP="007666A9">
      <w:pPr>
        <w:pStyle w:val="Paragrafoelenco"/>
        <w:numPr>
          <w:ilvl w:val="0"/>
          <w:numId w:val="1"/>
        </w:numPr>
        <w:spacing w:after="120" w:line="288" w:lineRule="auto"/>
        <w:jc w:val="both"/>
      </w:pPr>
      <w:r w:rsidRPr="00561D9A">
        <w:t>Le somme relative ai pagamenti delle rate possono essere maggiorate:</w:t>
      </w:r>
    </w:p>
    <w:p w14:paraId="106402BC" w14:textId="77777777" w:rsidR="007666A9" w:rsidRPr="00561D9A" w:rsidRDefault="007666A9" w:rsidP="007666A9">
      <w:pPr>
        <w:pStyle w:val="Paragrafoelenco"/>
        <w:spacing w:after="120" w:line="288" w:lineRule="auto"/>
        <w:jc w:val="both"/>
      </w:pPr>
      <w:r w:rsidRPr="00561D9A">
        <w:lastRenderedPageBreak/>
        <w:t>a)</w:t>
      </w:r>
      <w:r w:rsidRPr="00561D9A">
        <w:tab/>
        <w:t>degli interessi di dilazione pari al tasso di riferimento fissato dalla Banca Centrale Europea;</w:t>
      </w:r>
    </w:p>
    <w:p w14:paraId="67C99FD7" w14:textId="77777777" w:rsidR="007666A9" w:rsidRPr="00561D9A" w:rsidRDefault="007666A9" w:rsidP="007666A9">
      <w:pPr>
        <w:pStyle w:val="Paragrafoelenco"/>
        <w:spacing w:after="120" w:line="288" w:lineRule="auto"/>
        <w:jc w:val="both"/>
      </w:pPr>
      <w:r w:rsidRPr="00561D9A">
        <w:t>b)</w:t>
      </w:r>
      <w:r w:rsidRPr="00561D9A">
        <w:tab/>
        <w:t>degli interessi di mora nella misura del tasso legale più due punti percentuali a partire dal giorno di scadenza del termine prefissato per il pagamento rateizzato.</w:t>
      </w:r>
    </w:p>
    <w:p w14:paraId="3D05F67E" w14:textId="77777777" w:rsidR="007666A9" w:rsidRPr="00561D9A" w:rsidRDefault="007666A9" w:rsidP="007666A9">
      <w:pPr>
        <w:pStyle w:val="Paragrafoelenco"/>
        <w:numPr>
          <w:ilvl w:val="0"/>
          <w:numId w:val="1"/>
        </w:numPr>
        <w:spacing w:after="120" w:line="288" w:lineRule="auto"/>
        <w:jc w:val="both"/>
      </w:pPr>
      <w:r w:rsidRPr="00561D9A">
        <w:t>Gli interessi di dilazione di cui al precedente comma 4) non possono essere applicati qualora la soglia di cui al comma 1), lettera c), sia superata a causa di prolungati periodi di sospensione dell’emissione di documenti di riscossione per cause imputabili al Gestore.</w:t>
      </w:r>
    </w:p>
    <w:p w14:paraId="28CE27B3" w14:textId="77777777" w:rsidR="007666A9" w:rsidRPr="00561D9A" w:rsidRDefault="007666A9" w:rsidP="007666A9">
      <w:pPr>
        <w:pStyle w:val="Paragrafoelenco"/>
        <w:numPr>
          <w:ilvl w:val="0"/>
          <w:numId w:val="1"/>
        </w:numPr>
        <w:spacing w:after="120" w:line="288" w:lineRule="auto"/>
        <w:jc w:val="both"/>
      </w:pPr>
      <w:r w:rsidRPr="00561D9A">
        <w:t xml:space="preserve">In caso di mancato pagamento di una rata: </w:t>
      </w:r>
    </w:p>
    <w:p w14:paraId="07D5D566" w14:textId="77777777" w:rsidR="007666A9" w:rsidRPr="00561D9A" w:rsidRDefault="007666A9" w:rsidP="007666A9">
      <w:pPr>
        <w:pStyle w:val="Paragrafoelenco"/>
        <w:numPr>
          <w:ilvl w:val="0"/>
          <w:numId w:val="5"/>
        </w:numPr>
        <w:spacing w:after="120" w:line="288" w:lineRule="auto"/>
        <w:jc w:val="both"/>
      </w:pPr>
      <w:r w:rsidRPr="00561D9A">
        <w:t>il debitore decade automaticamente dal beneficio della dilazione;</w:t>
      </w:r>
    </w:p>
    <w:p w14:paraId="31685597" w14:textId="77777777" w:rsidR="007666A9" w:rsidRPr="00561D9A" w:rsidRDefault="007666A9" w:rsidP="007666A9">
      <w:pPr>
        <w:pStyle w:val="Paragrafoelenco"/>
        <w:numPr>
          <w:ilvl w:val="0"/>
          <w:numId w:val="5"/>
        </w:numPr>
        <w:spacing w:after="120" w:line="288" w:lineRule="auto"/>
        <w:jc w:val="both"/>
      </w:pPr>
      <w:r w:rsidRPr="00561D9A">
        <w:t>l'intero importo ancora dovuto è immediatamente ed automaticamente riscuotibile in un'unica soluzione con applicazione degli interessi previsti dal comma 4 lettera b);</w:t>
      </w:r>
    </w:p>
    <w:p w14:paraId="0AA849CA" w14:textId="77777777" w:rsidR="007666A9" w:rsidRPr="00561D9A" w:rsidRDefault="007666A9" w:rsidP="007666A9">
      <w:pPr>
        <w:pStyle w:val="Paragrafoelenco"/>
        <w:numPr>
          <w:ilvl w:val="0"/>
          <w:numId w:val="5"/>
        </w:numPr>
        <w:spacing w:after="120" w:line="288" w:lineRule="auto"/>
        <w:jc w:val="both"/>
      </w:pPr>
      <w:r w:rsidRPr="00561D9A">
        <w:t>al debitore non può più essere concessa ulteriore dilazione dei pagamenti per l’anno di riferimento.</w:t>
      </w:r>
    </w:p>
    <w:p w14:paraId="75238C3E" w14:textId="77777777" w:rsidR="007666A9" w:rsidRPr="00561D9A" w:rsidRDefault="007666A9" w:rsidP="007666A9">
      <w:pPr>
        <w:pStyle w:val="Titolo2"/>
        <w:numPr>
          <w:ilvl w:val="1"/>
          <w:numId w:val="3"/>
        </w:numPr>
        <w:tabs>
          <w:tab w:val="num" w:pos="360"/>
          <w:tab w:val="left" w:pos="993"/>
        </w:tabs>
        <w:spacing w:after="120"/>
        <w:ind w:left="0" w:firstLine="0"/>
        <w:rPr>
          <w:rFonts w:ascii="Times New Roman" w:hAnsi="Times New Roman" w:cs="Times New Roman"/>
        </w:rPr>
      </w:pPr>
      <w:bookmarkStart w:id="2" w:name="_Toc130294263"/>
      <w:r w:rsidRPr="00561D9A">
        <w:rPr>
          <w:rFonts w:ascii="Times New Roman" w:hAnsi="Times New Roman" w:cs="Times New Roman"/>
        </w:rPr>
        <w:t>Rateizzazione degli importi dovuti per Accertamento Esecutivo Patrimoniale</w:t>
      </w:r>
      <w:bookmarkEnd w:id="2"/>
    </w:p>
    <w:p w14:paraId="6FC819C3" w14:textId="77777777" w:rsidR="007666A9" w:rsidRPr="00561D9A" w:rsidRDefault="007666A9" w:rsidP="007666A9">
      <w:pPr>
        <w:pStyle w:val="Paragrafoelenco"/>
        <w:numPr>
          <w:ilvl w:val="0"/>
          <w:numId w:val="2"/>
        </w:numPr>
        <w:spacing w:after="120" w:line="288" w:lineRule="auto"/>
        <w:jc w:val="both"/>
        <w:rPr>
          <w:color w:val="FF0000"/>
        </w:rPr>
      </w:pPr>
      <w:r w:rsidRPr="00561D9A">
        <w:t>In fase di accertamento esecutivo patrimoniale per omesso pagamento, infedele o omessa dichiarazione, il Gestore è tenuto a garantire la possibilità di rateizzazione dell’importo dovuto:</w:t>
      </w:r>
    </w:p>
    <w:p w14:paraId="6A9135C3" w14:textId="77777777" w:rsidR="007666A9" w:rsidRPr="00561D9A" w:rsidRDefault="007666A9" w:rsidP="007666A9">
      <w:pPr>
        <w:pStyle w:val="Paragrafoelenco"/>
        <w:spacing w:after="120" w:line="288" w:lineRule="auto"/>
        <w:jc w:val="both"/>
      </w:pPr>
      <w:r w:rsidRPr="00561D9A">
        <w:t>a)</w:t>
      </w:r>
      <w:r w:rsidRPr="00561D9A">
        <w:tab/>
        <w:t>agli utenti che dichiarino mediante autocertificazione ai sensi del decreto del Presidente della Repubblica n.445/00 di essere beneficiari del bonus sociale per disagio economico previsto per i settori elettrico e/o gas e/o per il settore idrico;</w:t>
      </w:r>
    </w:p>
    <w:p w14:paraId="5FC877A5" w14:textId="77777777" w:rsidR="007666A9" w:rsidRPr="00561D9A" w:rsidRDefault="007666A9" w:rsidP="007666A9">
      <w:pPr>
        <w:pStyle w:val="Paragrafoelenco"/>
        <w:spacing w:after="120" w:line="288" w:lineRule="auto"/>
        <w:jc w:val="both"/>
      </w:pPr>
      <w:r w:rsidRPr="00561D9A">
        <w:t>b)</w:t>
      </w:r>
      <w:r w:rsidRPr="00561D9A">
        <w:tab/>
        <w:t>a ulteriori utenti che si trovino in condizioni economiche disagiate, individuati secondo i criteri definiti dall’Ente territorialmente competente;</w:t>
      </w:r>
    </w:p>
    <w:p w14:paraId="28A2CDCF" w14:textId="77777777" w:rsidR="007666A9" w:rsidRPr="00561D9A" w:rsidRDefault="007666A9" w:rsidP="007666A9">
      <w:pPr>
        <w:pStyle w:val="Paragrafoelenco"/>
        <w:numPr>
          <w:ilvl w:val="0"/>
          <w:numId w:val="2"/>
        </w:numPr>
        <w:spacing w:after="120" w:line="288" w:lineRule="auto"/>
        <w:jc w:val="both"/>
      </w:pPr>
      <w:r w:rsidRPr="00561D9A">
        <w:t>L’importo della singola rata non potrà essere inferiore ad una soglia minima pari a:</w:t>
      </w:r>
    </w:p>
    <w:p w14:paraId="08BE4203" w14:textId="77777777" w:rsidR="007666A9" w:rsidRPr="00561D9A" w:rsidRDefault="007666A9" w:rsidP="007666A9">
      <w:pPr>
        <w:pStyle w:val="Paragrafoelenco"/>
        <w:numPr>
          <w:ilvl w:val="0"/>
          <w:numId w:val="4"/>
        </w:numPr>
        <w:spacing w:after="120" w:line="288" w:lineRule="auto"/>
        <w:jc w:val="both"/>
      </w:pPr>
      <w:r w:rsidRPr="00561D9A">
        <w:t>cinquanta (50) euro per le utenze domestiche;</w:t>
      </w:r>
    </w:p>
    <w:p w14:paraId="05F72F55" w14:textId="77777777" w:rsidR="007666A9" w:rsidRPr="00561D9A" w:rsidRDefault="007666A9" w:rsidP="007666A9">
      <w:pPr>
        <w:pStyle w:val="Paragrafoelenco"/>
        <w:numPr>
          <w:ilvl w:val="0"/>
          <w:numId w:val="4"/>
        </w:numPr>
        <w:spacing w:after="120" w:line="288" w:lineRule="auto"/>
        <w:jc w:val="both"/>
      </w:pPr>
      <w:r w:rsidRPr="00561D9A">
        <w:t>cento (100) euro per le utenze non domestiche;</w:t>
      </w:r>
    </w:p>
    <w:p w14:paraId="76DF72DE" w14:textId="77777777" w:rsidR="007666A9" w:rsidRPr="00561D9A" w:rsidRDefault="007666A9" w:rsidP="007666A9">
      <w:pPr>
        <w:spacing w:after="120" w:line="288" w:lineRule="auto"/>
        <w:ind w:left="709"/>
        <w:jc w:val="both"/>
        <w:rPr>
          <w:rFonts w:ascii="Times New Roman" w:hAnsi="Times New Roman" w:cs="Times New Roman"/>
        </w:rPr>
      </w:pPr>
      <w:r w:rsidRPr="00561D9A">
        <w:rPr>
          <w:rFonts w:ascii="Times New Roman" w:hAnsi="Times New Roman" w:cs="Times New Roman"/>
        </w:rPr>
        <w:t>fatta salva la possibilità per il Gestore di praticare condizioni di rateizzazione migliorative indipendentemente dovuto. In base all’importo sottoindicato, verrà concesso il numero di rate riportato nella colonna “Rate concedibili con periodicità mensile”:</w:t>
      </w:r>
    </w:p>
    <w:tbl>
      <w:tblPr>
        <w:tblStyle w:val="Grigliatabella"/>
        <w:tblW w:w="0" w:type="auto"/>
        <w:tblInd w:w="720" w:type="dxa"/>
        <w:tblLook w:val="04A0" w:firstRow="1" w:lastRow="0" w:firstColumn="1" w:lastColumn="0" w:noHBand="0" w:noVBand="1"/>
      </w:tblPr>
      <w:tblGrid>
        <w:gridCol w:w="2295"/>
        <w:gridCol w:w="3784"/>
        <w:gridCol w:w="2410"/>
      </w:tblGrid>
      <w:tr w:rsidR="007666A9" w:rsidRPr="00561D9A" w14:paraId="65DEC776" w14:textId="77777777" w:rsidTr="00417622">
        <w:trPr>
          <w:trHeight w:val="298"/>
        </w:trPr>
        <w:tc>
          <w:tcPr>
            <w:tcW w:w="2295" w:type="dxa"/>
          </w:tcPr>
          <w:p w14:paraId="7546A82E" w14:textId="77777777" w:rsidR="007666A9" w:rsidRPr="00561D9A" w:rsidRDefault="007666A9" w:rsidP="00417622">
            <w:pPr>
              <w:pStyle w:val="Paragrafoelenco"/>
              <w:ind w:left="0"/>
              <w:jc w:val="center"/>
              <w:rPr>
                <w:b/>
                <w:bCs/>
              </w:rPr>
            </w:pPr>
            <w:r w:rsidRPr="00561D9A">
              <w:rPr>
                <w:b/>
                <w:bCs/>
              </w:rPr>
              <w:t>Tipo Cliente</w:t>
            </w:r>
          </w:p>
        </w:tc>
        <w:tc>
          <w:tcPr>
            <w:tcW w:w="3784" w:type="dxa"/>
          </w:tcPr>
          <w:p w14:paraId="32AEDE87" w14:textId="77777777" w:rsidR="007666A9" w:rsidRPr="00561D9A" w:rsidRDefault="007666A9" w:rsidP="00417622">
            <w:pPr>
              <w:pStyle w:val="Paragrafoelenco"/>
              <w:ind w:left="0"/>
              <w:jc w:val="center"/>
              <w:rPr>
                <w:b/>
                <w:bCs/>
              </w:rPr>
            </w:pPr>
            <w:r w:rsidRPr="00561D9A">
              <w:rPr>
                <w:b/>
                <w:bCs/>
              </w:rPr>
              <w:t>Importo del documento di riscossione da rateizzare €</w:t>
            </w:r>
          </w:p>
        </w:tc>
        <w:tc>
          <w:tcPr>
            <w:tcW w:w="2410" w:type="dxa"/>
          </w:tcPr>
          <w:p w14:paraId="799BB795" w14:textId="77777777" w:rsidR="007666A9" w:rsidRPr="00561D9A" w:rsidRDefault="007666A9" w:rsidP="00417622">
            <w:pPr>
              <w:pStyle w:val="Paragrafoelenco"/>
              <w:ind w:left="0"/>
              <w:jc w:val="center"/>
              <w:rPr>
                <w:b/>
                <w:bCs/>
              </w:rPr>
            </w:pPr>
            <w:r w:rsidRPr="00561D9A">
              <w:rPr>
                <w:b/>
                <w:bCs/>
              </w:rPr>
              <w:t>Rate concedibili con periodicità mensile</w:t>
            </w:r>
          </w:p>
        </w:tc>
      </w:tr>
      <w:tr w:rsidR="007666A9" w:rsidRPr="00561D9A" w14:paraId="4C6710D4" w14:textId="77777777" w:rsidTr="00417622">
        <w:tc>
          <w:tcPr>
            <w:tcW w:w="2295" w:type="dxa"/>
            <w:vMerge w:val="restart"/>
            <w:vAlign w:val="center"/>
          </w:tcPr>
          <w:p w14:paraId="2E96EF48" w14:textId="77777777" w:rsidR="007666A9" w:rsidRPr="00561D9A" w:rsidRDefault="007666A9" w:rsidP="00417622">
            <w:pPr>
              <w:pStyle w:val="Paragrafoelenco"/>
              <w:ind w:left="0"/>
              <w:jc w:val="center"/>
              <w:rPr>
                <w:b/>
                <w:bCs/>
              </w:rPr>
            </w:pPr>
            <w:r w:rsidRPr="00561D9A">
              <w:rPr>
                <w:b/>
                <w:bCs/>
              </w:rPr>
              <w:t>UD</w:t>
            </w:r>
          </w:p>
        </w:tc>
        <w:tc>
          <w:tcPr>
            <w:tcW w:w="3784" w:type="dxa"/>
          </w:tcPr>
          <w:p w14:paraId="6F6668D5" w14:textId="77777777" w:rsidR="007666A9" w:rsidRPr="00561D9A" w:rsidRDefault="007666A9" w:rsidP="00417622">
            <w:pPr>
              <w:pStyle w:val="Paragrafoelenco"/>
              <w:ind w:left="0"/>
              <w:jc w:val="center"/>
            </w:pPr>
            <w:r w:rsidRPr="00561D9A">
              <w:t>da 100,00 a 199,99</w:t>
            </w:r>
          </w:p>
        </w:tc>
        <w:tc>
          <w:tcPr>
            <w:tcW w:w="2410" w:type="dxa"/>
          </w:tcPr>
          <w:p w14:paraId="46D09EC0" w14:textId="77777777" w:rsidR="007666A9" w:rsidRPr="00561D9A" w:rsidRDefault="007666A9" w:rsidP="00417622">
            <w:pPr>
              <w:pStyle w:val="Paragrafoelenco"/>
              <w:ind w:left="0"/>
              <w:jc w:val="center"/>
            </w:pPr>
            <w:r w:rsidRPr="00561D9A">
              <w:t>2</w:t>
            </w:r>
          </w:p>
        </w:tc>
      </w:tr>
      <w:tr w:rsidR="007666A9" w:rsidRPr="00561D9A" w14:paraId="7C4DD152" w14:textId="77777777" w:rsidTr="00417622">
        <w:tc>
          <w:tcPr>
            <w:tcW w:w="2295" w:type="dxa"/>
            <w:vMerge/>
          </w:tcPr>
          <w:p w14:paraId="28FD7021" w14:textId="77777777" w:rsidR="007666A9" w:rsidRPr="00561D9A" w:rsidRDefault="007666A9" w:rsidP="00417622">
            <w:pPr>
              <w:pStyle w:val="Paragrafoelenco"/>
              <w:spacing w:after="120" w:line="288" w:lineRule="auto"/>
              <w:ind w:left="0"/>
              <w:jc w:val="both"/>
            </w:pPr>
          </w:p>
        </w:tc>
        <w:tc>
          <w:tcPr>
            <w:tcW w:w="3784" w:type="dxa"/>
          </w:tcPr>
          <w:p w14:paraId="1DC37709" w14:textId="77777777" w:rsidR="007666A9" w:rsidRPr="00561D9A" w:rsidRDefault="007666A9" w:rsidP="00417622">
            <w:pPr>
              <w:pStyle w:val="Paragrafoelenco"/>
              <w:ind w:left="0"/>
              <w:jc w:val="center"/>
            </w:pPr>
            <w:r w:rsidRPr="00561D9A">
              <w:t>da 200,00 a 399,99</w:t>
            </w:r>
          </w:p>
        </w:tc>
        <w:tc>
          <w:tcPr>
            <w:tcW w:w="2410" w:type="dxa"/>
          </w:tcPr>
          <w:p w14:paraId="6EBA4DF6" w14:textId="77777777" w:rsidR="007666A9" w:rsidRPr="00561D9A" w:rsidRDefault="007666A9" w:rsidP="00417622">
            <w:pPr>
              <w:pStyle w:val="Paragrafoelenco"/>
              <w:ind w:left="0"/>
              <w:jc w:val="center"/>
            </w:pPr>
            <w:r w:rsidRPr="00561D9A">
              <w:t>3</w:t>
            </w:r>
          </w:p>
        </w:tc>
      </w:tr>
      <w:tr w:rsidR="007666A9" w:rsidRPr="00561D9A" w14:paraId="5A0D1028" w14:textId="77777777" w:rsidTr="00417622">
        <w:tc>
          <w:tcPr>
            <w:tcW w:w="2295" w:type="dxa"/>
            <w:vMerge/>
          </w:tcPr>
          <w:p w14:paraId="506439D7" w14:textId="77777777" w:rsidR="007666A9" w:rsidRPr="00561D9A" w:rsidRDefault="007666A9" w:rsidP="00417622">
            <w:pPr>
              <w:pStyle w:val="Paragrafoelenco"/>
              <w:spacing w:after="120" w:line="288" w:lineRule="auto"/>
              <w:ind w:left="0"/>
              <w:jc w:val="both"/>
            </w:pPr>
          </w:p>
        </w:tc>
        <w:tc>
          <w:tcPr>
            <w:tcW w:w="3784" w:type="dxa"/>
          </w:tcPr>
          <w:p w14:paraId="300BBB1B" w14:textId="77777777" w:rsidR="007666A9" w:rsidRPr="00561D9A" w:rsidRDefault="007666A9" w:rsidP="00417622">
            <w:pPr>
              <w:pStyle w:val="Paragrafoelenco"/>
              <w:ind w:left="0"/>
              <w:jc w:val="center"/>
            </w:pPr>
            <w:r w:rsidRPr="00561D9A">
              <w:t>da 400,00 a 499,99</w:t>
            </w:r>
          </w:p>
        </w:tc>
        <w:tc>
          <w:tcPr>
            <w:tcW w:w="2410" w:type="dxa"/>
          </w:tcPr>
          <w:p w14:paraId="4D15D805" w14:textId="77777777" w:rsidR="007666A9" w:rsidRPr="00561D9A" w:rsidRDefault="007666A9" w:rsidP="00417622">
            <w:pPr>
              <w:pStyle w:val="Paragrafoelenco"/>
              <w:ind w:left="0"/>
              <w:jc w:val="center"/>
            </w:pPr>
            <w:r w:rsidRPr="00561D9A">
              <w:t>4</w:t>
            </w:r>
          </w:p>
        </w:tc>
      </w:tr>
      <w:tr w:rsidR="007666A9" w:rsidRPr="00561D9A" w14:paraId="2B897D7A" w14:textId="77777777" w:rsidTr="00417622">
        <w:tc>
          <w:tcPr>
            <w:tcW w:w="2295" w:type="dxa"/>
            <w:vMerge/>
          </w:tcPr>
          <w:p w14:paraId="4231AE4A" w14:textId="77777777" w:rsidR="007666A9" w:rsidRPr="00561D9A" w:rsidRDefault="007666A9" w:rsidP="00417622">
            <w:pPr>
              <w:pStyle w:val="Paragrafoelenco"/>
              <w:spacing w:after="120" w:line="288" w:lineRule="auto"/>
              <w:ind w:left="0"/>
              <w:jc w:val="both"/>
            </w:pPr>
          </w:p>
        </w:tc>
        <w:tc>
          <w:tcPr>
            <w:tcW w:w="3784" w:type="dxa"/>
          </w:tcPr>
          <w:p w14:paraId="06F82BF8" w14:textId="77777777" w:rsidR="007666A9" w:rsidRPr="00561D9A" w:rsidRDefault="007666A9" w:rsidP="00417622">
            <w:pPr>
              <w:pStyle w:val="Paragrafoelenco"/>
              <w:ind w:left="0"/>
              <w:jc w:val="center"/>
            </w:pPr>
            <w:r w:rsidRPr="00561D9A">
              <w:t>da 500,00 a 999,99</w:t>
            </w:r>
          </w:p>
        </w:tc>
        <w:tc>
          <w:tcPr>
            <w:tcW w:w="2410" w:type="dxa"/>
          </w:tcPr>
          <w:p w14:paraId="79BB8FD3" w14:textId="77777777" w:rsidR="007666A9" w:rsidRPr="00561D9A" w:rsidRDefault="007666A9" w:rsidP="00417622">
            <w:pPr>
              <w:pStyle w:val="Paragrafoelenco"/>
              <w:ind w:left="0"/>
              <w:jc w:val="center"/>
            </w:pPr>
            <w:r w:rsidRPr="00561D9A">
              <w:t>5</w:t>
            </w:r>
          </w:p>
        </w:tc>
      </w:tr>
      <w:tr w:rsidR="007666A9" w:rsidRPr="00561D9A" w14:paraId="2E9AFB54" w14:textId="77777777" w:rsidTr="00417622">
        <w:tc>
          <w:tcPr>
            <w:tcW w:w="2295" w:type="dxa"/>
            <w:vMerge/>
          </w:tcPr>
          <w:p w14:paraId="549F737B" w14:textId="77777777" w:rsidR="007666A9" w:rsidRPr="00561D9A" w:rsidRDefault="007666A9" w:rsidP="00417622">
            <w:pPr>
              <w:pStyle w:val="Paragrafoelenco"/>
              <w:spacing w:after="120" w:line="288" w:lineRule="auto"/>
              <w:ind w:left="0"/>
              <w:jc w:val="both"/>
            </w:pPr>
          </w:p>
        </w:tc>
        <w:tc>
          <w:tcPr>
            <w:tcW w:w="3784" w:type="dxa"/>
          </w:tcPr>
          <w:p w14:paraId="041E1E70" w14:textId="77777777" w:rsidR="007666A9" w:rsidRPr="00561D9A" w:rsidRDefault="007666A9" w:rsidP="00417622">
            <w:pPr>
              <w:pStyle w:val="Paragrafoelenco"/>
              <w:ind w:left="0"/>
              <w:jc w:val="center"/>
            </w:pPr>
            <w:r w:rsidRPr="00561D9A">
              <w:t>da 1.000,00 a 2.999,99</w:t>
            </w:r>
          </w:p>
        </w:tc>
        <w:tc>
          <w:tcPr>
            <w:tcW w:w="2410" w:type="dxa"/>
          </w:tcPr>
          <w:p w14:paraId="12825F9E" w14:textId="77777777" w:rsidR="007666A9" w:rsidRPr="00561D9A" w:rsidRDefault="007666A9" w:rsidP="00417622">
            <w:pPr>
              <w:pStyle w:val="Paragrafoelenco"/>
              <w:ind w:left="0"/>
              <w:jc w:val="center"/>
            </w:pPr>
            <w:r w:rsidRPr="00561D9A">
              <w:t>10</w:t>
            </w:r>
          </w:p>
        </w:tc>
      </w:tr>
      <w:tr w:rsidR="007666A9" w:rsidRPr="00561D9A" w14:paraId="051ECB26" w14:textId="77777777" w:rsidTr="00417622">
        <w:tc>
          <w:tcPr>
            <w:tcW w:w="2295" w:type="dxa"/>
            <w:vMerge/>
          </w:tcPr>
          <w:p w14:paraId="0AA89192" w14:textId="77777777" w:rsidR="007666A9" w:rsidRPr="00561D9A" w:rsidRDefault="007666A9" w:rsidP="00417622">
            <w:pPr>
              <w:pStyle w:val="Paragrafoelenco"/>
              <w:spacing w:after="120" w:line="288" w:lineRule="auto"/>
              <w:ind w:left="0"/>
              <w:jc w:val="both"/>
            </w:pPr>
          </w:p>
        </w:tc>
        <w:tc>
          <w:tcPr>
            <w:tcW w:w="3784" w:type="dxa"/>
          </w:tcPr>
          <w:p w14:paraId="7FE54F86" w14:textId="77777777" w:rsidR="007666A9" w:rsidRPr="00561D9A" w:rsidRDefault="007666A9" w:rsidP="00417622">
            <w:pPr>
              <w:pStyle w:val="Paragrafoelenco"/>
              <w:ind w:left="0"/>
              <w:jc w:val="center"/>
            </w:pPr>
            <w:r w:rsidRPr="00561D9A">
              <w:t>da 3.000,00 a 6.000,00</w:t>
            </w:r>
          </w:p>
        </w:tc>
        <w:tc>
          <w:tcPr>
            <w:tcW w:w="2410" w:type="dxa"/>
          </w:tcPr>
          <w:p w14:paraId="1B28BE72" w14:textId="77777777" w:rsidR="007666A9" w:rsidRPr="00561D9A" w:rsidRDefault="007666A9" w:rsidP="00417622">
            <w:pPr>
              <w:pStyle w:val="Paragrafoelenco"/>
              <w:ind w:left="0"/>
              <w:jc w:val="center"/>
            </w:pPr>
            <w:r w:rsidRPr="00561D9A">
              <w:t>18</w:t>
            </w:r>
          </w:p>
        </w:tc>
      </w:tr>
      <w:tr w:rsidR="007666A9" w:rsidRPr="00561D9A" w14:paraId="16CEE264" w14:textId="77777777" w:rsidTr="00417622">
        <w:tc>
          <w:tcPr>
            <w:tcW w:w="2295" w:type="dxa"/>
            <w:vMerge/>
          </w:tcPr>
          <w:p w14:paraId="096418F8" w14:textId="77777777" w:rsidR="007666A9" w:rsidRPr="00561D9A" w:rsidRDefault="007666A9" w:rsidP="00417622">
            <w:pPr>
              <w:pStyle w:val="Paragrafoelenco"/>
              <w:spacing w:after="120" w:line="288" w:lineRule="auto"/>
              <w:ind w:left="0"/>
              <w:jc w:val="both"/>
            </w:pPr>
          </w:p>
        </w:tc>
        <w:tc>
          <w:tcPr>
            <w:tcW w:w="3784" w:type="dxa"/>
          </w:tcPr>
          <w:p w14:paraId="601EA35B" w14:textId="77777777" w:rsidR="007666A9" w:rsidRPr="00561D9A" w:rsidRDefault="007666A9" w:rsidP="00417622">
            <w:pPr>
              <w:pStyle w:val="Paragrafoelenco"/>
              <w:ind w:left="0"/>
              <w:jc w:val="center"/>
            </w:pPr>
            <w:r w:rsidRPr="00561D9A">
              <w:t>&gt;6.000,00</w:t>
            </w:r>
          </w:p>
        </w:tc>
        <w:tc>
          <w:tcPr>
            <w:tcW w:w="2410" w:type="dxa"/>
          </w:tcPr>
          <w:p w14:paraId="126DBBEB" w14:textId="77777777" w:rsidR="007666A9" w:rsidRPr="00561D9A" w:rsidRDefault="007666A9" w:rsidP="00417622">
            <w:pPr>
              <w:pStyle w:val="Paragrafoelenco"/>
              <w:ind w:left="0"/>
              <w:jc w:val="center"/>
            </w:pPr>
            <w:r w:rsidRPr="00561D9A">
              <w:t>36</w:t>
            </w:r>
          </w:p>
        </w:tc>
      </w:tr>
    </w:tbl>
    <w:p w14:paraId="19CFDCC3" w14:textId="77777777" w:rsidR="007666A9" w:rsidRPr="00561D9A" w:rsidRDefault="007666A9" w:rsidP="007666A9">
      <w:pPr>
        <w:pStyle w:val="Paragrafoelenco"/>
        <w:spacing w:after="120" w:line="288" w:lineRule="auto"/>
        <w:jc w:val="both"/>
      </w:pPr>
    </w:p>
    <w:tbl>
      <w:tblPr>
        <w:tblStyle w:val="Grigliatabella"/>
        <w:tblW w:w="0" w:type="auto"/>
        <w:tblInd w:w="720" w:type="dxa"/>
        <w:tblLook w:val="04A0" w:firstRow="1" w:lastRow="0" w:firstColumn="1" w:lastColumn="0" w:noHBand="0" w:noVBand="1"/>
      </w:tblPr>
      <w:tblGrid>
        <w:gridCol w:w="2295"/>
        <w:gridCol w:w="3784"/>
        <w:gridCol w:w="2410"/>
      </w:tblGrid>
      <w:tr w:rsidR="007666A9" w:rsidRPr="00561D9A" w14:paraId="4ADECA3C" w14:textId="77777777" w:rsidTr="00417622">
        <w:trPr>
          <w:trHeight w:val="298"/>
        </w:trPr>
        <w:tc>
          <w:tcPr>
            <w:tcW w:w="2295" w:type="dxa"/>
          </w:tcPr>
          <w:p w14:paraId="5654F4CA" w14:textId="77777777" w:rsidR="007666A9" w:rsidRPr="00561D9A" w:rsidRDefault="007666A9" w:rsidP="00417622">
            <w:pPr>
              <w:pStyle w:val="Paragrafoelenco"/>
              <w:ind w:left="0"/>
              <w:jc w:val="center"/>
              <w:rPr>
                <w:b/>
                <w:bCs/>
              </w:rPr>
            </w:pPr>
            <w:r w:rsidRPr="00561D9A">
              <w:rPr>
                <w:b/>
                <w:bCs/>
              </w:rPr>
              <w:lastRenderedPageBreak/>
              <w:t>Tipo Cliente</w:t>
            </w:r>
          </w:p>
        </w:tc>
        <w:tc>
          <w:tcPr>
            <w:tcW w:w="3784" w:type="dxa"/>
          </w:tcPr>
          <w:p w14:paraId="143FBBF5" w14:textId="77777777" w:rsidR="007666A9" w:rsidRPr="00561D9A" w:rsidRDefault="007666A9" w:rsidP="00417622">
            <w:pPr>
              <w:pStyle w:val="Paragrafoelenco"/>
              <w:ind w:left="0"/>
              <w:jc w:val="center"/>
              <w:rPr>
                <w:b/>
                <w:bCs/>
              </w:rPr>
            </w:pPr>
            <w:r w:rsidRPr="00561D9A">
              <w:rPr>
                <w:b/>
                <w:bCs/>
              </w:rPr>
              <w:t>Importo del documento di riscossione da rateizzare €</w:t>
            </w:r>
          </w:p>
        </w:tc>
        <w:tc>
          <w:tcPr>
            <w:tcW w:w="2410" w:type="dxa"/>
          </w:tcPr>
          <w:p w14:paraId="6C1A5FEC" w14:textId="77777777" w:rsidR="007666A9" w:rsidRPr="00561D9A" w:rsidRDefault="007666A9" w:rsidP="00417622">
            <w:pPr>
              <w:pStyle w:val="Paragrafoelenco"/>
              <w:ind w:left="0"/>
              <w:jc w:val="center"/>
              <w:rPr>
                <w:b/>
                <w:bCs/>
              </w:rPr>
            </w:pPr>
            <w:r w:rsidRPr="00561D9A">
              <w:rPr>
                <w:b/>
                <w:bCs/>
              </w:rPr>
              <w:t>Rate concedibili con periodicità mensile</w:t>
            </w:r>
          </w:p>
        </w:tc>
      </w:tr>
      <w:tr w:rsidR="007666A9" w:rsidRPr="00561D9A" w14:paraId="2A6B99D5" w14:textId="77777777" w:rsidTr="00417622">
        <w:tc>
          <w:tcPr>
            <w:tcW w:w="2295" w:type="dxa"/>
            <w:vMerge w:val="restart"/>
            <w:vAlign w:val="center"/>
          </w:tcPr>
          <w:p w14:paraId="6001300B" w14:textId="77777777" w:rsidR="007666A9" w:rsidRPr="00561D9A" w:rsidRDefault="007666A9" w:rsidP="00417622">
            <w:pPr>
              <w:pStyle w:val="Paragrafoelenco"/>
              <w:ind w:left="0"/>
              <w:jc w:val="center"/>
              <w:rPr>
                <w:b/>
                <w:bCs/>
              </w:rPr>
            </w:pPr>
            <w:r w:rsidRPr="00561D9A">
              <w:rPr>
                <w:b/>
                <w:bCs/>
              </w:rPr>
              <w:t>UND</w:t>
            </w:r>
          </w:p>
        </w:tc>
        <w:tc>
          <w:tcPr>
            <w:tcW w:w="3784" w:type="dxa"/>
          </w:tcPr>
          <w:p w14:paraId="289D0471" w14:textId="77777777" w:rsidR="007666A9" w:rsidRPr="00561D9A" w:rsidRDefault="007666A9" w:rsidP="00417622">
            <w:pPr>
              <w:pStyle w:val="Paragrafoelenco"/>
              <w:ind w:left="0"/>
              <w:jc w:val="center"/>
            </w:pPr>
            <w:r w:rsidRPr="00561D9A">
              <w:t>da 200,00 a 299,99</w:t>
            </w:r>
          </w:p>
        </w:tc>
        <w:tc>
          <w:tcPr>
            <w:tcW w:w="2410" w:type="dxa"/>
          </w:tcPr>
          <w:p w14:paraId="2AC032DA" w14:textId="77777777" w:rsidR="007666A9" w:rsidRPr="00561D9A" w:rsidRDefault="007666A9" w:rsidP="00417622">
            <w:pPr>
              <w:pStyle w:val="Paragrafoelenco"/>
              <w:ind w:left="0"/>
              <w:jc w:val="center"/>
            </w:pPr>
            <w:r w:rsidRPr="00561D9A">
              <w:t>2</w:t>
            </w:r>
          </w:p>
        </w:tc>
      </w:tr>
      <w:tr w:rsidR="007666A9" w:rsidRPr="00561D9A" w14:paraId="7F827E5C" w14:textId="77777777" w:rsidTr="00417622">
        <w:tc>
          <w:tcPr>
            <w:tcW w:w="2295" w:type="dxa"/>
            <w:vMerge/>
          </w:tcPr>
          <w:p w14:paraId="7CF9428A" w14:textId="77777777" w:rsidR="007666A9" w:rsidRPr="00561D9A" w:rsidRDefault="007666A9" w:rsidP="00417622">
            <w:pPr>
              <w:pStyle w:val="Paragrafoelenco"/>
              <w:spacing w:after="120" w:line="288" w:lineRule="auto"/>
              <w:ind w:left="0"/>
              <w:jc w:val="both"/>
            </w:pPr>
          </w:p>
        </w:tc>
        <w:tc>
          <w:tcPr>
            <w:tcW w:w="3784" w:type="dxa"/>
          </w:tcPr>
          <w:p w14:paraId="017A90E3" w14:textId="77777777" w:rsidR="007666A9" w:rsidRPr="00561D9A" w:rsidRDefault="007666A9" w:rsidP="00417622">
            <w:pPr>
              <w:pStyle w:val="Paragrafoelenco"/>
              <w:ind w:left="0"/>
              <w:jc w:val="center"/>
            </w:pPr>
            <w:r w:rsidRPr="00561D9A">
              <w:t>da 300,00 a 399,99</w:t>
            </w:r>
          </w:p>
        </w:tc>
        <w:tc>
          <w:tcPr>
            <w:tcW w:w="2410" w:type="dxa"/>
          </w:tcPr>
          <w:p w14:paraId="5615058B" w14:textId="77777777" w:rsidR="007666A9" w:rsidRPr="00561D9A" w:rsidRDefault="007666A9" w:rsidP="00417622">
            <w:pPr>
              <w:pStyle w:val="Paragrafoelenco"/>
              <w:ind w:left="0"/>
              <w:jc w:val="center"/>
            </w:pPr>
            <w:r w:rsidRPr="00561D9A">
              <w:t>3</w:t>
            </w:r>
          </w:p>
        </w:tc>
      </w:tr>
      <w:tr w:rsidR="007666A9" w:rsidRPr="00561D9A" w14:paraId="5FD7B0EA" w14:textId="77777777" w:rsidTr="00417622">
        <w:tc>
          <w:tcPr>
            <w:tcW w:w="2295" w:type="dxa"/>
            <w:vMerge/>
          </w:tcPr>
          <w:p w14:paraId="4C36850F" w14:textId="77777777" w:rsidR="007666A9" w:rsidRPr="00561D9A" w:rsidRDefault="007666A9" w:rsidP="00417622">
            <w:pPr>
              <w:pStyle w:val="Paragrafoelenco"/>
              <w:spacing w:after="120" w:line="288" w:lineRule="auto"/>
              <w:ind w:left="0"/>
              <w:jc w:val="both"/>
            </w:pPr>
          </w:p>
        </w:tc>
        <w:tc>
          <w:tcPr>
            <w:tcW w:w="3784" w:type="dxa"/>
          </w:tcPr>
          <w:p w14:paraId="629B712E" w14:textId="77777777" w:rsidR="007666A9" w:rsidRPr="00561D9A" w:rsidRDefault="007666A9" w:rsidP="00417622">
            <w:pPr>
              <w:pStyle w:val="Paragrafoelenco"/>
              <w:ind w:left="0"/>
              <w:jc w:val="center"/>
            </w:pPr>
            <w:r w:rsidRPr="00561D9A">
              <w:t>da 400,00 a 499,99</w:t>
            </w:r>
          </w:p>
        </w:tc>
        <w:tc>
          <w:tcPr>
            <w:tcW w:w="2410" w:type="dxa"/>
          </w:tcPr>
          <w:p w14:paraId="0051DEA9" w14:textId="77777777" w:rsidR="007666A9" w:rsidRPr="00561D9A" w:rsidRDefault="007666A9" w:rsidP="00417622">
            <w:pPr>
              <w:pStyle w:val="Paragrafoelenco"/>
              <w:ind w:left="0"/>
              <w:jc w:val="center"/>
            </w:pPr>
            <w:r w:rsidRPr="00561D9A">
              <w:t>4</w:t>
            </w:r>
          </w:p>
        </w:tc>
      </w:tr>
      <w:tr w:rsidR="007666A9" w:rsidRPr="00561D9A" w14:paraId="3415E290" w14:textId="77777777" w:rsidTr="00417622">
        <w:tc>
          <w:tcPr>
            <w:tcW w:w="2295" w:type="dxa"/>
            <w:vMerge/>
          </w:tcPr>
          <w:p w14:paraId="70AAF1B3" w14:textId="77777777" w:rsidR="007666A9" w:rsidRPr="00561D9A" w:rsidRDefault="007666A9" w:rsidP="00417622">
            <w:pPr>
              <w:pStyle w:val="Paragrafoelenco"/>
              <w:spacing w:after="120" w:line="288" w:lineRule="auto"/>
              <w:ind w:left="0"/>
              <w:jc w:val="both"/>
            </w:pPr>
          </w:p>
        </w:tc>
        <w:tc>
          <w:tcPr>
            <w:tcW w:w="3784" w:type="dxa"/>
          </w:tcPr>
          <w:p w14:paraId="69074F72" w14:textId="77777777" w:rsidR="007666A9" w:rsidRPr="00561D9A" w:rsidRDefault="007666A9" w:rsidP="00417622">
            <w:pPr>
              <w:pStyle w:val="Paragrafoelenco"/>
              <w:ind w:left="0"/>
              <w:jc w:val="center"/>
            </w:pPr>
            <w:r w:rsidRPr="00561D9A">
              <w:t>da 500,00 a 999,99</w:t>
            </w:r>
          </w:p>
        </w:tc>
        <w:tc>
          <w:tcPr>
            <w:tcW w:w="2410" w:type="dxa"/>
          </w:tcPr>
          <w:p w14:paraId="587FA626" w14:textId="77777777" w:rsidR="007666A9" w:rsidRPr="00561D9A" w:rsidRDefault="007666A9" w:rsidP="00417622">
            <w:pPr>
              <w:pStyle w:val="Paragrafoelenco"/>
              <w:ind w:left="0"/>
              <w:jc w:val="center"/>
            </w:pPr>
            <w:r w:rsidRPr="00561D9A">
              <w:t>5</w:t>
            </w:r>
          </w:p>
        </w:tc>
      </w:tr>
      <w:tr w:rsidR="007666A9" w:rsidRPr="00561D9A" w14:paraId="04A07E52" w14:textId="77777777" w:rsidTr="00417622">
        <w:tc>
          <w:tcPr>
            <w:tcW w:w="2295" w:type="dxa"/>
            <w:vMerge/>
          </w:tcPr>
          <w:p w14:paraId="46A17139" w14:textId="77777777" w:rsidR="007666A9" w:rsidRPr="00561D9A" w:rsidRDefault="007666A9" w:rsidP="00417622">
            <w:pPr>
              <w:pStyle w:val="Paragrafoelenco"/>
              <w:spacing w:after="120" w:line="288" w:lineRule="auto"/>
              <w:ind w:left="0"/>
              <w:jc w:val="both"/>
            </w:pPr>
          </w:p>
        </w:tc>
        <w:tc>
          <w:tcPr>
            <w:tcW w:w="3784" w:type="dxa"/>
          </w:tcPr>
          <w:p w14:paraId="3A81796A" w14:textId="77777777" w:rsidR="007666A9" w:rsidRPr="00561D9A" w:rsidRDefault="007666A9" w:rsidP="00417622">
            <w:pPr>
              <w:pStyle w:val="Paragrafoelenco"/>
              <w:ind w:left="0"/>
              <w:jc w:val="center"/>
            </w:pPr>
            <w:r w:rsidRPr="00561D9A">
              <w:t>da 1.000,00 a 2.999,99</w:t>
            </w:r>
          </w:p>
        </w:tc>
        <w:tc>
          <w:tcPr>
            <w:tcW w:w="2410" w:type="dxa"/>
          </w:tcPr>
          <w:p w14:paraId="141BABF4" w14:textId="77777777" w:rsidR="007666A9" w:rsidRPr="00561D9A" w:rsidRDefault="007666A9" w:rsidP="00417622">
            <w:pPr>
              <w:pStyle w:val="Paragrafoelenco"/>
              <w:ind w:left="0"/>
              <w:jc w:val="center"/>
            </w:pPr>
            <w:r w:rsidRPr="00561D9A">
              <w:t>10</w:t>
            </w:r>
          </w:p>
        </w:tc>
      </w:tr>
      <w:tr w:rsidR="007666A9" w:rsidRPr="00561D9A" w14:paraId="17F7AF23" w14:textId="77777777" w:rsidTr="00417622">
        <w:tc>
          <w:tcPr>
            <w:tcW w:w="2295" w:type="dxa"/>
            <w:vMerge/>
          </w:tcPr>
          <w:p w14:paraId="1C1AB8A1" w14:textId="77777777" w:rsidR="007666A9" w:rsidRPr="00561D9A" w:rsidRDefault="007666A9" w:rsidP="00417622">
            <w:pPr>
              <w:pStyle w:val="Paragrafoelenco"/>
              <w:spacing w:after="120" w:line="288" w:lineRule="auto"/>
              <w:ind w:left="0"/>
              <w:jc w:val="both"/>
            </w:pPr>
          </w:p>
        </w:tc>
        <w:tc>
          <w:tcPr>
            <w:tcW w:w="3784" w:type="dxa"/>
          </w:tcPr>
          <w:p w14:paraId="4829ABBD" w14:textId="77777777" w:rsidR="007666A9" w:rsidRPr="00561D9A" w:rsidRDefault="007666A9" w:rsidP="00417622">
            <w:pPr>
              <w:pStyle w:val="Paragrafoelenco"/>
              <w:ind w:left="0"/>
              <w:jc w:val="center"/>
            </w:pPr>
            <w:r w:rsidRPr="00561D9A">
              <w:t>da 3.000,00 a 6.000,00</w:t>
            </w:r>
          </w:p>
        </w:tc>
        <w:tc>
          <w:tcPr>
            <w:tcW w:w="2410" w:type="dxa"/>
          </w:tcPr>
          <w:p w14:paraId="01AE54CB" w14:textId="77777777" w:rsidR="007666A9" w:rsidRPr="00561D9A" w:rsidRDefault="007666A9" w:rsidP="00417622">
            <w:pPr>
              <w:pStyle w:val="Paragrafoelenco"/>
              <w:ind w:left="0"/>
              <w:jc w:val="center"/>
            </w:pPr>
            <w:r w:rsidRPr="00561D9A">
              <w:t>18</w:t>
            </w:r>
          </w:p>
        </w:tc>
      </w:tr>
      <w:tr w:rsidR="007666A9" w:rsidRPr="00561D9A" w14:paraId="0C233F57" w14:textId="77777777" w:rsidTr="00417622">
        <w:tc>
          <w:tcPr>
            <w:tcW w:w="2295" w:type="dxa"/>
            <w:vMerge/>
          </w:tcPr>
          <w:p w14:paraId="14069ED2" w14:textId="77777777" w:rsidR="007666A9" w:rsidRPr="00561D9A" w:rsidRDefault="007666A9" w:rsidP="00417622">
            <w:pPr>
              <w:pStyle w:val="Paragrafoelenco"/>
              <w:spacing w:after="120" w:line="288" w:lineRule="auto"/>
              <w:ind w:left="0"/>
              <w:jc w:val="both"/>
            </w:pPr>
          </w:p>
        </w:tc>
        <w:tc>
          <w:tcPr>
            <w:tcW w:w="3784" w:type="dxa"/>
          </w:tcPr>
          <w:p w14:paraId="5D07A53F" w14:textId="77777777" w:rsidR="007666A9" w:rsidRPr="00561D9A" w:rsidRDefault="007666A9" w:rsidP="00417622">
            <w:pPr>
              <w:pStyle w:val="Paragrafoelenco"/>
              <w:ind w:left="0"/>
              <w:jc w:val="center"/>
            </w:pPr>
            <w:r w:rsidRPr="00561D9A">
              <w:t>&gt;6.000,00</w:t>
            </w:r>
          </w:p>
        </w:tc>
        <w:tc>
          <w:tcPr>
            <w:tcW w:w="2410" w:type="dxa"/>
          </w:tcPr>
          <w:p w14:paraId="095B3C41" w14:textId="77777777" w:rsidR="007666A9" w:rsidRPr="00561D9A" w:rsidRDefault="007666A9" w:rsidP="00417622">
            <w:pPr>
              <w:pStyle w:val="Paragrafoelenco"/>
              <w:ind w:left="0"/>
              <w:jc w:val="center"/>
            </w:pPr>
            <w:r w:rsidRPr="00561D9A">
              <w:t>36</w:t>
            </w:r>
          </w:p>
        </w:tc>
      </w:tr>
    </w:tbl>
    <w:p w14:paraId="3F41A926" w14:textId="77777777" w:rsidR="007666A9" w:rsidRPr="00561D9A" w:rsidRDefault="007666A9" w:rsidP="007666A9">
      <w:pPr>
        <w:pStyle w:val="Paragrafoelenco"/>
        <w:spacing w:after="120" w:line="288" w:lineRule="auto"/>
        <w:jc w:val="both"/>
      </w:pPr>
    </w:p>
    <w:p w14:paraId="5502E7A7" w14:textId="77777777" w:rsidR="007666A9" w:rsidRPr="00561D9A" w:rsidRDefault="007666A9" w:rsidP="007666A9">
      <w:pPr>
        <w:pStyle w:val="Paragrafoelenco"/>
        <w:numPr>
          <w:ilvl w:val="0"/>
          <w:numId w:val="2"/>
        </w:numPr>
        <w:spacing w:after="120" w:line="288" w:lineRule="auto"/>
        <w:jc w:val="both"/>
      </w:pPr>
      <w:r w:rsidRPr="00561D9A">
        <w:t>La richiesta di rateizzazione da parte dell’utente che ne ha diritto deve essere presentata, a pena di decadenza, entro 60 giorni dal ricevimento dell’avviso di accertamento patrimoniale esecutivo.</w:t>
      </w:r>
    </w:p>
    <w:p w14:paraId="6B7DCB21" w14:textId="77777777" w:rsidR="007666A9" w:rsidRPr="00561D9A" w:rsidRDefault="007666A9" w:rsidP="007666A9">
      <w:pPr>
        <w:pStyle w:val="Paragrafoelenco"/>
        <w:numPr>
          <w:ilvl w:val="0"/>
          <w:numId w:val="2"/>
        </w:numPr>
        <w:spacing w:after="120" w:line="288" w:lineRule="auto"/>
        <w:jc w:val="both"/>
      </w:pPr>
      <w:r w:rsidRPr="00561D9A">
        <w:t>Le somme relative ai pagamenti delle rate possono essere maggiorate:</w:t>
      </w:r>
    </w:p>
    <w:p w14:paraId="53E6AC8B" w14:textId="77777777" w:rsidR="007666A9" w:rsidRPr="00561D9A" w:rsidRDefault="007666A9" w:rsidP="007666A9">
      <w:pPr>
        <w:pStyle w:val="Paragrafoelenco"/>
        <w:spacing w:after="120" w:line="288" w:lineRule="auto"/>
        <w:jc w:val="both"/>
      </w:pPr>
      <w:r w:rsidRPr="00561D9A">
        <w:t>a)</w:t>
      </w:r>
      <w:r w:rsidRPr="00561D9A">
        <w:tab/>
        <w:t>degli interessi di dilazione pari al tasso di riferimento fissato dalla Banca Centrale Europea;</w:t>
      </w:r>
    </w:p>
    <w:p w14:paraId="53763E91" w14:textId="77777777" w:rsidR="007666A9" w:rsidRPr="00561D9A" w:rsidRDefault="007666A9" w:rsidP="007666A9">
      <w:pPr>
        <w:pStyle w:val="Paragrafoelenco"/>
        <w:spacing w:after="120" w:line="288" w:lineRule="auto"/>
        <w:jc w:val="both"/>
      </w:pPr>
      <w:r w:rsidRPr="00561D9A">
        <w:t>b)</w:t>
      </w:r>
      <w:r w:rsidRPr="00561D9A">
        <w:tab/>
        <w:t>degli interessi di mora nella misura del tasso legale più due punti percentuali a partire dal giorno di scadenza del termine prefissato per il pagamento rateizzato.</w:t>
      </w:r>
    </w:p>
    <w:p w14:paraId="7A4B13FE" w14:textId="77777777" w:rsidR="007666A9" w:rsidRPr="00561D9A" w:rsidRDefault="007666A9" w:rsidP="007666A9">
      <w:pPr>
        <w:pStyle w:val="Paragrafoelenco"/>
        <w:numPr>
          <w:ilvl w:val="0"/>
          <w:numId w:val="2"/>
        </w:numPr>
        <w:spacing w:after="120" w:line="288" w:lineRule="auto"/>
        <w:jc w:val="both"/>
      </w:pPr>
      <w:bookmarkStart w:id="3" w:name="_Hlk128071292"/>
      <w:r w:rsidRPr="00561D9A">
        <w:t>Il mancato pagamento anche di una sola rata comporta la notifica di espresso sollecito ad adempiere;</w:t>
      </w:r>
    </w:p>
    <w:p w14:paraId="2D4AF6E1" w14:textId="77777777" w:rsidR="007666A9" w:rsidRPr="00561D9A" w:rsidRDefault="007666A9" w:rsidP="007666A9">
      <w:pPr>
        <w:pStyle w:val="Paragrafoelenco"/>
        <w:numPr>
          <w:ilvl w:val="0"/>
          <w:numId w:val="2"/>
        </w:numPr>
        <w:spacing w:after="120" w:line="288" w:lineRule="auto"/>
        <w:jc w:val="both"/>
      </w:pPr>
      <w:r w:rsidRPr="00561D9A">
        <w:t>Il mancato pagamento di due rate anche non consecutive comporta:</w:t>
      </w:r>
    </w:p>
    <w:p w14:paraId="2FEDD61A" w14:textId="77777777" w:rsidR="007666A9" w:rsidRPr="00561D9A" w:rsidRDefault="007666A9" w:rsidP="007666A9">
      <w:pPr>
        <w:pStyle w:val="Paragrafoelenco"/>
        <w:numPr>
          <w:ilvl w:val="0"/>
          <w:numId w:val="5"/>
        </w:numPr>
        <w:spacing w:after="120" w:line="288" w:lineRule="auto"/>
        <w:jc w:val="both"/>
      </w:pPr>
      <w:r w:rsidRPr="00561D9A">
        <w:t>la decadenza dal beneficio della rateizzazione;</w:t>
      </w:r>
    </w:p>
    <w:p w14:paraId="523B7E68" w14:textId="77777777" w:rsidR="007666A9" w:rsidRPr="00561D9A" w:rsidRDefault="007666A9" w:rsidP="007666A9">
      <w:pPr>
        <w:pStyle w:val="Paragrafoelenco"/>
        <w:numPr>
          <w:ilvl w:val="0"/>
          <w:numId w:val="5"/>
        </w:numPr>
        <w:tabs>
          <w:tab w:val="left" w:pos="993"/>
        </w:tabs>
        <w:spacing w:after="120"/>
      </w:pPr>
      <w:r w:rsidRPr="00561D9A">
        <w:t>la trasmissione dell'intero importo ancora dovuto, ai fini della riscossione coattiva, al soggetto incaricato della stessa.</w:t>
      </w:r>
    </w:p>
    <w:bookmarkEnd w:id="3"/>
    <w:p w14:paraId="30359B90" w14:textId="38DD3772" w:rsidR="008442ED" w:rsidRDefault="008442ED"/>
    <w:p w14:paraId="19A4F07A" w14:textId="67AA268D" w:rsidR="007666A9" w:rsidRDefault="007666A9"/>
    <w:p w14:paraId="0595CBD7" w14:textId="77777777" w:rsidR="007666A9" w:rsidRDefault="007666A9"/>
    <w:sectPr w:rsidR="007666A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NSimSun">
    <w:panose1 w:val="02010609030101010101"/>
    <w:charset w:val="86"/>
    <w:family w:val="modern"/>
    <w:pitch w:val="fixed"/>
    <w:sig w:usb0="00000203" w:usb1="288F0000" w:usb2="00000016" w:usb3="00000000" w:csb0="00040001" w:csb1="00000000"/>
  </w:font>
  <w:font w:name="Arial Unicode MS">
    <w:altName w:val="Arial"/>
    <w:panose1 w:val="020B0604020202020204"/>
    <w:charset w:val="00"/>
    <w:family w:val="auto"/>
    <w:pitch w:val="variable"/>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107E37"/>
    <w:multiLevelType w:val="hybridMultilevel"/>
    <w:tmpl w:val="9D0E89C4"/>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 w15:restartNumberingAfterBreak="0">
    <w:nsid w:val="4A2C30FB"/>
    <w:multiLevelType w:val="hybridMultilevel"/>
    <w:tmpl w:val="673AAAA4"/>
    <w:lvl w:ilvl="0" w:tplc="FFFFFFFF">
      <w:start w:val="1"/>
      <w:numFmt w:val="decimal"/>
      <w:lvlText w:val="%1."/>
      <w:lvlJc w:val="left"/>
      <w:pPr>
        <w:ind w:left="720" w:hanging="360"/>
      </w:pPr>
      <w:rPr>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58B26B69"/>
    <w:multiLevelType w:val="hybridMultilevel"/>
    <w:tmpl w:val="673AAAA4"/>
    <w:lvl w:ilvl="0" w:tplc="FD5A1934">
      <w:start w:val="1"/>
      <w:numFmt w:val="decimal"/>
      <w:lvlText w:val="%1."/>
      <w:lvlJc w:val="left"/>
      <w:pPr>
        <w:ind w:left="720" w:hanging="360"/>
      </w:pPr>
      <w:rPr>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68EA16D7"/>
    <w:multiLevelType w:val="multilevel"/>
    <w:tmpl w:val="8466BDF8"/>
    <w:lvl w:ilvl="0">
      <w:start w:val="1"/>
      <w:numFmt w:val="decimal"/>
      <w:lvlText w:val="ART.%1"/>
      <w:lvlJc w:val="left"/>
      <w:pPr>
        <w:ind w:left="360" w:hanging="360"/>
      </w:pPr>
      <w:rPr>
        <w:rFonts w:hint="default"/>
        <w:b/>
        <w:bCs w:val="0"/>
        <w:color w:val="auto"/>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7C3F5671"/>
    <w:multiLevelType w:val="hybridMultilevel"/>
    <w:tmpl w:val="8AE4C7AE"/>
    <w:lvl w:ilvl="0" w:tplc="D94A6F28">
      <w:start w:val="1"/>
      <w:numFmt w:val="bullet"/>
      <w:lvlText w:val=""/>
      <w:lvlJc w:val="left"/>
      <w:pPr>
        <w:ind w:left="1068" w:hanging="360"/>
      </w:pPr>
      <w:rPr>
        <w:rFonts w:ascii="Symbol" w:hAnsi="Symbol" w:hint="default"/>
        <w:color w:val="auto"/>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num w:numId="1">
    <w:abstractNumId w:val="2"/>
  </w:num>
  <w:num w:numId="2">
    <w:abstractNumId w:val="1"/>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66A9"/>
    <w:rsid w:val="00102BCF"/>
    <w:rsid w:val="007310DF"/>
    <w:rsid w:val="007666A9"/>
    <w:rsid w:val="008442E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AADBA3"/>
  <w15:chartTrackingRefBased/>
  <w15:docId w15:val="{B3DB07A2-9FD2-4979-98FF-0AE1369E2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666A9"/>
    <w:pPr>
      <w:suppressAutoHyphens/>
      <w:autoSpaceDN w:val="0"/>
      <w:spacing w:after="0" w:line="240" w:lineRule="auto"/>
      <w:textAlignment w:val="baseline"/>
    </w:pPr>
    <w:rPr>
      <w:rFonts w:ascii="Trebuchet MS" w:eastAsia="NSimSun" w:hAnsi="Trebuchet MS" w:cs="Arial Unicode MS"/>
      <w:kern w:val="3"/>
      <w:sz w:val="24"/>
      <w:szCs w:val="24"/>
      <w:lang w:eastAsia="zh-CN" w:bidi="hi-IN"/>
    </w:rPr>
  </w:style>
  <w:style w:type="paragraph" w:styleId="Titolo2">
    <w:name w:val="heading 2"/>
    <w:basedOn w:val="Normale"/>
    <w:next w:val="Normale"/>
    <w:link w:val="Titolo2Carattere"/>
    <w:uiPriority w:val="9"/>
    <w:unhideWhenUsed/>
    <w:qFormat/>
    <w:rsid w:val="007666A9"/>
    <w:pPr>
      <w:keepNext/>
      <w:spacing w:before="360" w:after="240" w:line="288" w:lineRule="auto"/>
      <w:jc w:val="both"/>
      <w:outlineLvl w:val="1"/>
    </w:pPr>
    <w:rPr>
      <w:rFonts w:ascii="Garamond" w:eastAsia="Garamond" w:hAnsi="Garamond" w:cs="Garamond"/>
      <w:b/>
      <w:bCs/>
      <w:lang w:bidi="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
    <w:rsid w:val="007666A9"/>
    <w:rPr>
      <w:rFonts w:ascii="Garamond" w:eastAsia="Garamond" w:hAnsi="Garamond" w:cs="Garamond"/>
      <w:b/>
      <w:bCs/>
      <w:kern w:val="3"/>
      <w:sz w:val="24"/>
      <w:szCs w:val="24"/>
      <w:lang w:eastAsia="zh-CN"/>
    </w:rPr>
  </w:style>
  <w:style w:type="paragraph" w:styleId="Paragrafoelenco">
    <w:name w:val="List Paragraph"/>
    <w:basedOn w:val="Normale"/>
    <w:uiPriority w:val="34"/>
    <w:qFormat/>
    <w:rsid w:val="007666A9"/>
    <w:pPr>
      <w:ind w:left="720"/>
    </w:pPr>
    <w:rPr>
      <w:rFonts w:ascii="Times New Roman" w:eastAsia="Times New Roman" w:hAnsi="Times New Roman" w:cs="Times New Roman"/>
      <w:lang w:bidi="ar-SA"/>
    </w:rPr>
  </w:style>
  <w:style w:type="table" w:styleId="Grigliatabella">
    <w:name w:val="Table Grid"/>
    <w:basedOn w:val="Tabellanormale"/>
    <w:uiPriority w:val="39"/>
    <w:rsid w:val="007666A9"/>
    <w:pPr>
      <w:suppressAutoHyphens/>
      <w:autoSpaceDN w:val="0"/>
      <w:spacing w:after="0" w:line="240" w:lineRule="auto"/>
      <w:textAlignment w:val="baseline"/>
    </w:pPr>
    <w:rPr>
      <w:rFonts w:ascii="Trebuchet MS" w:eastAsia="NSimSun" w:hAnsi="Trebuchet MS" w:cs="Arial Unicode MS"/>
      <w:kern w:val="3"/>
      <w:sz w:val="24"/>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797</Words>
  <Characters>4549</Characters>
  <Application>Microsoft Office Word</Application>
  <DocSecurity>0</DocSecurity>
  <Lines>37</Lines>
  <Paragraphs>10</Paragraphs>
  <ScaleCrop>false</ScaleCrop>
  <Company/>
  <LinksUpToDate>false</LinksUpToDate>
  <CharactersWithSpaces>5336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GAIA MARANGONI</dc:creator>
  <cp:keywords/>
  <dc:description/>
  <cp:lastModifiedBy>GAIA MARANGONI</cp:lastModifiedBy>
  <cp:revision>1</cp:revision>
  <dcterms:created xsi:type="dcterms:W3CDTF">2023-04-05T06:54:00Z</dcterms:created>
  <dcterms:modified xsi:type="dcterms:W3CDTF">2023-04-05T06:54:00Z</dcterms:modified>
</cp:coreProperties>
</file>